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77777777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4DA7C42B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277BA64E" w:rsidR="00CC6216" w:rsidRDefault="00D32F4C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внесение изменений в решение №82 от 22.12.2023г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381D8A8D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6F3C85E" w14:textId="1FA5C1D7" w:rsidR="00CC6216" w:rsidRPr="0006634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346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</w:t>
      </w:r>
      <w:r w:rsidR="00D32F4C" w:rsidRPr="00066346">
        <w:rPr>
          <w:rFonts w:ascii="Times New Roman" w:hAnsi="Times New Roman" w:cs="Times New Roman"/>
          <w:sz w:val="26"/>
          <w:szCs w:val="26"/>
        </w:rPr>
        <w:t xml:space="preserve"> изложить решение в новой редакции</w:t>
      </w:r>
      <w:r w:rsidRPr="00066346">
        <w:rPr>
          <w:rFonts w:ascii="Times New Roman" w:hAnsi="Times New Roman" w:cs="Times New Roman"/>
          <w:sz w:val="26"/>
          <w:szCs w:val="26"/>
        </w:rPr>
        <w:t>:</w:t>
      </w:r>
    </w:p>
    <w:p w14:paraId="366ABFF8" w14:textId="77777777" w:rsidR="004E3A5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5A7E49" w14:textId="0862AFD9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b/>
          <w:sz w:val="26"/>
          <w:szCs w:val="26"/>
        </w:rPr>
        <w:t>6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5BDD83F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в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5AB5903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района  в сумме </w:t>
      </w:r>
      <w:r w:rsidR="00066346">
        <w:rPr>
          <w:rFonts w:ascii="Times New Roman" w:hAnsi="Times New Roman" w:cs="Times New Roman"/>
          <w:color w:val="auto"/>
          <w:sz w:val="26"/>
          <w:szCs w:val="26"/>
        </w:rPr>
        <w:t>23265,6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7777777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51214274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</w:t>
      </w:r>
      <w:r w:rsidR="005E3A8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74A97A1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066346">
        <w:rPr>
          <w:rFonts w:ascii="Times New Roman" w:hAnsi="Times New Roman" w:cs="Times New Roman"/>
          <w:color w:val="auto"/>
          <w:sz w:val="26"/>
          <w:szCs w:val="26"/>
        </w:rPr>
        <w:t>217,</w:t>
      </w:r>
      <w:proofErr w:type="gramStart"/>
      <w:r w:rsidR="00066346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</w:t>
      </w:r>
      <w:proofErr w:type="gramEnd"/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5DBEEDE1" w14:textId="3A05B10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Утвердить основные характеристики бюджета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годов, определенные с </w:t>
      </w:r>
      <w:r w:rsidRPr="00AA563F">
        <w:rPr>
          <w:rFonts w:ascii="Times New Roman" w:hAnsi="Times New Roman" w:cs="Times New Roman"/>
          <w:sz w:val="26"/>
          <w:szCs w:val="26"/>
        </w:rPr>
        <w:t>учетом уровня инфляции, не превышающего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и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соответственно:</w:t>
      </w:r>
    </w:p>
    <w:p w14:paraId="00B8CC26" w14:textId="10CB5C9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Андреево-</w:t>
      </w:r>
      <w:proofErr w:type="gramStart"/>
      <w:r>
        <w:rPr>
          <w:rFonts w:ascii="Times New Roman" w:hAnsi="Times New Roman" w:cs="Times New Roman"/>
          <w:sz w:val="26"/>
          <w:szCs w:val="26"/>
        </w:rPr>
        <w:t>Мелентьевского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Неклиновского района 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5E3A80">
        <w:rPr>
          <w:rFonts w:ascii="Times New Roman" w:hAnsi="Times New Roman" w:cs="Times New Roman"/>
          <w:sz w:val="26"/>
          <w:szCs w:val="26"/>
        </w:rPr>
        <w:t>23444,0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5E3A80">
        <w:rPr>
          <w:rFonts w:ascii="Times New Roman" w:hAnsi="Times New Roman" w:cs="Times New Roman"/>
          <w:color w:val="auto"/>
          <w:sz w:val="26"/>
          <w:szCs w:val="26"/>
        </w:rPr>
        <w:t>24474,3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C7C8780" w14:textId="4D5D2EB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2025 год в сумме </w:t>
      </w:r>
      <w:r w:rsidR="00870AAC">
        <w:rPr>
          <w:rFonts w:ascii="Times New Roman" w:hAnsi="Times New Roman" w:cs="Times New Roman"/>
          <w:sz w:val="26"/>
          <w:szCs w:val="26"/>
        </w:rPr>
        <w:t>23444,0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2026 год в сумме </w:t>
      </w:r>
      <w:r w:rsidR="00870AAC">
        <w:rPr>
          <w:rFonts w:ascii="Times New Roman" w:hAnsi="Times New Roman" w:cs="Times New Roman"/>
          <w:color w:val="auto"/>
          <w:sz w:val="26"/>
          <w:szCs w:val="26"/>
        </w:rPr>
        <w:t>24474,3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576,4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и в том числе условно утвержденные расходы в сумме </w:t>
      </w:r>
      <w:r w:rsidR="004E3A56">
        <w:rPr>
          <w:rFonts w:ascii="Times New Roman" w:hAnsi="Times New Roman" w:cs="Times New Roman"/>
          <w:sz w:val="26"/>
          <w:szCs w:val="26"/>
        </w:rPr>
        <w:t>1202,6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год.; </w:t>
      </w:r>
    </w:p>
    <w:p w14:paraId="60670E18" w14:textId="045D276C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3)верхний предел муниципального внутреннего долга Андреево-Мелентьевского сельского поселения Неклиновского района  на 1 января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  на 1 января 202</w:t>
      </w:r>
      <w:r w:rsidR="004E3A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9496CB" w14:textId="46EACA2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объем расходов на обслуживание муниципального долга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 2025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рублей.</w:t>
      </w:r>
    </w:p>
    <w:p w14:paraId="1B69CF0D" w14:textId="6919E87D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5) прогнозируемый дефицит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сумме  0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,0 тыс. рублей 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538EF61" w14:textId="7DDDEEB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 к настоящему решению.</w:t>
      </w:r>
    </w:p>
    <w:p w14:paraId="344424EB" w14:textId="463F7C8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35492C8E" w14:textId="5ED4A09E" w:rsidR="00CC6216" w:rsidRDefault="00CC6216" w:rsidP="00CC6216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Бюджетные ассигнования бюджета Андреево-Мелентьевского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Неклиновского района </w:t>
      </w:r>
      <w:r w:rsidR="004E3A56" w:rsidRPr="004E3A56">
        <w:rPr>
          <w:rFonts w:ascii="Times New Roman" w:hAnsi="Times New Roman" w:cs="Times New Roman"/>
          <w:b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533F0D9D" w14:textId="0640AE59" w:rsidR="00CC6216" w:rsidRDefault="00CC6216" w:rsidP="00CC6216">
      <w:pPr>
        <w:pStyle w:val="af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 Андреево-Мелентьевского сельского поселения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FA2B8F" w14:textId="77777777" w:rsidR="00CC6216" w:rsidRDefault="00CC6216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3BD3B1CA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791303C6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6984AE00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42592" w14:textId="43CCEF1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окладов денежного содержания по должностям муниципальной службы, должностных окладов  технического персонала и ставок заработной </w:t>
      </w:r>
      <w:r w:rsidRPr="00AA563F">
        <w:rPr>
          <w:rFonts w:ascii="Times New Roman" w:hAnsi="Times New Roman" w:cs="Times New Roman"/>
          <w:sz w:val="26"/>
          <w:szCs w:val="26"/>
        </w:rPr>
        <w:t>платы обслуживающего персонала органов местного 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2843F97D" w14:textId="2F09F499" w:rsidR="005E3A80" w:rsidRDefault="005E3A80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</w:t>
      </w:r>
      <w:r w:rsidRPr="00AA563F">
        <w:rPr>
          <w:rFonts w:ascii="Times New Roman" w:hAnsi="Times New Roman" w:cs="Times New Roman"/>
          <w:sz w:val="26"/>
          <w:szCs w:val="26"/>
        </w:rPr>
        <w:t>самоуправления Андреево-Мелентьевского сельского поселения индексируются с 1 октября 2024 года на 4,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процента, с 1 октября 2025 года на 4,0 процента, с 1 октября 2026 года на 4,0 процента.</w:t>
      </w:r>
    </w:p>
    <w:p w14:paraId="79F21745" w14:textId="6B0413F6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использования бюджетных ассигнований на обеспечение деятельности </w:t>
      </w:r>
      <w:r w:rsidR="005E3A80" w:rsidRPr="005E3A80">
        <w:rPr>
          <w:rFonts w:ascii="Times New Roman" w:hAnsi="Times New Roman" w:cs="Times New Roman"/>
          <w:b/>
          <w:bCs/>
          <w:sz w:val="26"/>
          <w:szCs w:val="26"/>
        </w:rPr>
        <w:t>муниципальных бюджетных учреждений</w:t>
      </w:r>
      <w:r w:rsidR="005E3A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Андреево-Мелентьевского сельского поселения Неклиновского района</w:t>
      </w:r>
    </w:p>
    <w:p w14:paraId="5773ABF9" w14:textId="0A22D361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2F4C" w:rsidRPr="00D32F4C">
        <w:rPr>
          <w:rFonts w:ascii="Times New Roman" w:hAnsi="Times New Roman" w:cs="Times New Roman"/>
          <w:sz w:val="26"/>
          <w:szCs w:val="26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Андреево-Мелентьевского сельского поселения индексируются с 1 октября 2024 года на 4,5 процента, с 1 октября 2025 года на 4,0 процента, с 1 октября 2026 года на 4,0 процента</w:t>
      </w:r>
    </w:p>
    <w:p w14:paraId="0B995DAE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сельскому поселению Неклиновского района, на финансирование расходов </w:t>
      </w:r>
      <w:bookmarkStart w:id="1" w:name="_Hlk118359741"/>
      <w:r>
        <w:rPr>
          <w:rFonts w:ascii="Times New Roman" w:hAnsi="Times New Roman" w:cs="Times New Roman"/>
          <w:b/>
          <w:sz w:val="26"/>
          <w:szCs w:val="26"/>
        </w:rPr>
        <w:t xml:space="preserve">2023 году и на плановый период 2024 и 2025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5AB971C" w14:textId="1C18CDE5" w:rsidR="00CC6216" w:rsidRDefault="00CC6216" w:rsidP="00CC621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Направить субвенции из областного бюджета, предусмотренные Андреево-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сельскому поселению Неклиновского района, на финансирование расходов в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годов, согласно приложению 6 к настоящему решению.</w:t>
      </w:r>
    </w:p>
    <w:p w14:paraId="72D0B7CE" w14:textId="4B5F2FD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Статья 6. Особенности исполнения бюджета Андреево-Мелентьевского сельского 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поселения  Неклиновского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 в 202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году </w:t>
      </w:r>
    </w:p>
    <w:p w14:paraId="4C28413D" w14:textId="77777777" w:rsidR="00CC6216" w:rsidRDefault="00CC6216" w:rsidP="00CC6216">
      <w:pPr>
        <w:spacing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667B6EB" w14:textId="18D420FB" w:rsidR="00CC6216" w:rsidRDefault="00D32F4C" w:rsidP="00D32F4C">
      <w:pPr>
        <w:pStyle w:val="af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C6216">
        <w:rPr>
          <w:color w:val="000000"/>
          <w:sz w:val="26"/>
          <w:szCs w:val="26"/>
        </w:rPr>
        <w:t xml:space="preserve">. Установить в соответствии с абзацем четвертым части 3 статьи 43 решения Собрания депутатов Андреево-Мелентьевского сельского поселения Неклиновского района от </w:t>
      </w:r>
      <w:r w:rsidR="004E3A56">
        <w:rPr>
          <w:color w:val="000000"/>
          <w:sz w:val="26"/>
          <w:szCs w:val="26"/>
        </w:rPr>
        <w:t>05</w:t>
      </w:r>
      <w:r w:rsidR="00CC6216">
        <w:rPr>
          <w:color w:val="000000"/>
          <w:sz w:val="26"/>
          <w:szCs w:val="26"/>
        </w:rPr>
        <w:t xml:space="preserve"> </w:t>
      </w:r>
      <w:r w:rsidR="004E3A56">
        <w:rPr>
          <w:color w:val="000000"/>
          <w:sz w:val="26"/>
          <w:szCs w:val="26"/>
        </w:rPr>
        <w:t>апреля</w:t>
      </w:r>
      <w:r w:rsidR="00CC6216">
        <w:rPr>
          <w:color w:val="000000"/>
          <w:sz w:val="26"/>
          <w:szCs w:val="26"/>
        </w:rPr>
        <w:t xml:space="preserve"> 20</w:t>
      </w:r>
      <w:r w:rsidR="004E3A56">
        <w:rPr>
          <w:color w:val="000000"/>
          <w:sz w:val="26"/>
          <w:szCs w:val="26"/>
        </w:rPr>
        <w:t>23</w:t>
      </w:r>
      <w:r w:rsidR="00CC6216">
        <w:rPr>
          <w:color w:val="000000"/>
          <w:sz w:val="26"/>
          <w:szCs w:val="26"/>
        </w:rPr>
        <w:t xml:space="preserve"> года № </w:t>
      </w:r>
      <w:r w:rsidR="004E3A56">
        <w:rPr>
          <w:color w:val="000000"/>
          <w:sz w:val="26"/>
          <w:szCs w:val="26"/>
        </w:rPr>
        <w:t>60</w:t>
      </w:r>
      <w:r w:rsidR="00CC6216">
        <w:rPr>
          <w:color w:val="000000"/>
          <w:sz w:val="26"/>
          <w:szCs w:val="26"/>
        </w:rPr>
        <w:t xml:space="preserve"> «О бюджетном процессе в Андреево-Мелентьевском сельском поселении», что основаниями для внесения в 202</w:t>
      </w:r>
      <w:r w:rsidR="004E3A56">
        <w:rPr>
          <w:color w:val="000000"/>
          <w:sz w:val="26"/>
          <w:szCs w:val="26"/>
        </w:rPr>
        <w:t>4</w:t>
      </w:r>
      <w:r w:rsidR="00CC6216"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Андреево-Мелентьевского сельского поселения Неклиновского района являются:</w:t>
      </w:r>
    </w:p>
    <w:p w14:paraId="43E11A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части неиспользованных бюджетных ассигнований резервного фонда Администрации Андреево-Мелентьевского сельского поселения, выделенных в порядке, установленном Администрацией Андреево-Мелентьевского сельского поселения, предусматривающие:</w:t>
      </w:r>
    </w:p>
    <w:p w14:paraId="2DC95FB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уменьшение объема ранее выделенных бюджетных ассигнований из резервного фонда Администрации Андреево-Мелентьевского сельского поселения на суммы неиспользованных средств;</w:t>
      </w:r>
    </w:p>
    <w:p w14:paraId="216A263C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признание утратившими силу ранее принятых постановлений Администрации Андреево-Мелентьевского сельского поселения о выделении средств из резервного фонда Администрации Андреево-Мелентьевского сельского поселения;</w:t>
      </w:r>
    </w:p>
    <w:p w14:paraId="0049801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Андреево-Мелентьевского сельского поселения;</w:t>
      </w:r>
    </w:p>
    <w:p w14:paraId="1EC410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C0B5A2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1604E896" w14:textId="6FD3458B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D32F4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Установить в соответствии со статьей 24226 Бюджетного </w:t>
      </w:r>
      <w:proofErr w:type="gramStart"/>
      <w:r>
        <w:rPr>
          <w:color w:val="000000"/>
          <w:sz w:val="26"/>
          <w:szCs w:val="26"/>
        </w:rPr>
        <w:t>кодекса  Российской</w:t>
      </w:r>
      <w:proofErr w:type="gramEnd"/>
      <w:r>
        <w:rPr>
          <w:color w:val="000000"/>
          <w:sz w:val="26"/>
          <w:szCs w:val="26"/>
        </w:rPr>
        <w:t xml:space="preserve"> Федерации, что казначейскому сопровождению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подлежат средства бюджета Андреево-Мелентьевского сельского поселения Неклиновского района:</w:t>
      </w:r>
    </w:p>
    <w:p w14:paraId="555B8913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расчеты по муниципальным </w:t>
      </w:r>
      <w:proofErr w:type="gramStart"/>
      <w:r>
        <w:rPr>
          <w:color w:val="000000"/>
          <w:sz w:val="26"/>
          <w:szCs w:val="26"/>
        </w:rPr>
        <w:t>контрактам,  заключаемым</w:t>
      </w:r>
      <w:proofErr w:type="gramEnd"/>
      <w:r>
        <w:rPr>
          <w:color w:val="000000"/>
          <w:sz w:val="26"/>
          <w:szCs w:val="26"/>
        </w:rPr>
        <w:t xml:space="preserve"> на сумму более 50    миллионов рублей;</w:t>
      </w:r>
    </w:p>
    <w:p w14:paraId="33A67BCA" w14:textId="77777777" w:rsidR="00CC6216" w:rsidRDefault="00CC6216" w:rsidP="00CC6216">
      <w:pPr>
        <w:pStyle w:val="af1"/>
        <w:spacing w:line="276" w:lineRule="auto"/>
        <w:ind w:firstLine="142"/>
        <w:jc w:val="both"/>
        <w:rPr>
          <w:b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2) расчеты </w:t>
      </w:r>
      <w:proofErr w:type="gramStart"/>
      <w:r>
        <w:rPr>
          <w:color w:val="000000"/>
          <w:sz w:val="26"/>
          <w:szCs w:val="26"/>
        </w:rPr>
        <w:t>по контрактам (договорам)</w:t>
      </w:r>
      <w:proofErr w:type="gramEnd"/>
      <w:r>
        <w:rPr>
          <w:color w:val="000000"/>
          <w:sz w:val="26"/>
          <w:szCs w:val="26"/>
        </w:rPr>
        <w:t xml:space="preserve"> заключаемым на сумму более 50 миллионов рублей муниципальными бюджетными учреждениями Андреево-Мелентьевского сельского поселения.</w:t>
      </w:r>
    </w:p>
    <w:p w14:paraId="14E7BEB7" w14:textId="77777777" w:rsidR="00CC6216" w:rsidRDefault="00CC6216" w:rsidP="00CC62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7. Межбюджетные трансферты, передаваемые бюджету Неклиновского района </w:t>
      </w:r>
    </w:p>
    <w:p w14:paraId="198C2D27" w14:textId="73C59BD1" w:rsidR="00CC6216" w:rsidRPr="00D32F4C" w:rsidRDefault="00CC6216" w:rsidP="00D32F4C">
      <w:pPr>
        <w:pStyle w:val="af0"/>
        <w:numPr>
          <w:ilvl w:val="0"/>
          <w:numId w:val="6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2F4C">
        <w:rPr>
          <w:rFonts w:ascii="Times New Roman" w:hAnsi="Times New Roman" w:cs="Times New Roman"/>
          <w:sz w:val="26"/>
          <w:szCs w:val="26"/>
        </w:rPr>
        <w:t>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 w:rsidRPr="00D32F4C">
        <w:rPr>
          <w:rFonts w:ascii="Times New Roman" w:hAnsi="Times New Roman" w:cs="Times New Roman"/>
          <w:sz w:val="26"/>
          <w:szCs w:val="26"/>
        </w:rPr>
        <w:t>4</w:t>
      </w:r>
      <w:r w:rsidRPr="00D32F4C">
        <w:rPr>
          <w:rFonts w:ascii="Times New Roman" w:hAnsi="Times New Roman" w:cs="Times New Roman"/>
          <w:sz w:val="26"/>
          <w:szCs w:val="26"/>
        </w:rPr>
        <w:t xml:space="preserve"> год согласно приложению 7 к настоящему решению.</w:t>
      </w:r>
    </w:p>
    <w:p w14:paraId="3E4B8F4F" w14:textId="464A1088" w:rsidR="00D32F4C" w:rsidRPr="00D32F4C" w:rsidRDefault="00D32F4C" w:rsidP="00D32F4C">
      <w:pPr>
        <w:pStyle w:val="af0"/>
        <w:numPr>
          <w:ilvl w:val="0"/>
          <w:numId w:val="6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2F4C">
        <w:rPr>
          <w:rFonts w:ascii="Times New Roman" w:hAnsi="Times New Roman" w:cs="Times New Roman"/>
          <w:sz w:val="26"/>
          <w:szCs w:val="26"/>
        </w:rPr>
        <w:t>Установить, что Управлению Федерального казначейства по Ростовской области могут быть переданы на основании решения главного распорядителя средств бюджета Андреево-Мелентьевского сельского поселения полномочия получателя средств бюджета сельского поселения по перечислению  межбюджетных трансфертов, предоставляемых из бюджета поселения бюджету Неклиновского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поселения,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</w:t>
      </w:r>
    </w:p>
    <w:p w14:paraId="31ACED43" w14:textId="6C0BCA1F" w:rsidR="00CC6216" w:rsidRDefault="00CC6216" w:rsidP="00CC6216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8.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Мелентьевскому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сельскому поселению, на финансирование расходов в </w:t>
      </w:r>
      <w:r w:rsidR="004E3A56" w:rsidRPr="004E3A56">
        <w:rPr>
          <w:rFonts w:ascii="Times New Roman" w:hAnsi="Times New Roman" w:cs="Times New Roman"/>
          <w:b/>
          <w:color w:val="auto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годов </w:t>
      </w:r>
    </w:p>
    <w:p w14:paraId="5216F0BD" w14:textId="4ACE7B91" w:rsidR="00CC6216" w:rsidRDefault="00CC6216" w:rsidP="00CC621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Направить 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согласно приложению 8 к настоящему решению.</w:t>
      </w:r>
    </w:p>
    <w:p w14:paraId="551E74DA" w14:textId="77777777" w:rsidR="00CC6216" w:rsidRDefault="00CC6216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 9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</w:rPr>
        <w:t>. Вступление в силу настоящего решения.</w:t>
      </w:r>
    </w:p>
    <w:p w14:paraId="0C75A225" w14:textId="55011148" w:rsidR="00CC6216" w:rsidRDefault="00CC6216" w:rsidP="00CC6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Настоящее решение вступает в силу с 1 января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  <w:r w:rsidR="00D32F4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Э.А.Хруленко</w:t>
      </w:r>
      <w:proofErr w:type="spellEnd"/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0A3A61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038A7" w14:textId="77777777" w:rsidR="000A3A61" w:rsidRDefault="000A3A61" w:rsidP="00CC6216">
      <w:pPr>
        <w:spacing w:after="0" w:line="240" w:lineRule="auto"/>
      </w:pPr>
      <w:r>
        <w:separator/>
      </w:r>
    </w:p>
  </w:endnote>
  <w:endnote w:type="continuationSeparator" w:id="0">
    <w:p w14:paraId="14C0FA0A" w14:textId="77777777" w:rsidR="000A3A61" w:rsidRDefault="000A3A61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FD52F" w14:textId="77777777" w:rsidR="000A3A61" w:rsidRDefault="000A3A61" w:rsidP="00CC6216">
      <w:pPr>
        <w:spacing w:after="0" w:line="240" w:lineRule="auto"/>
      </w:pPr>
      <w:r>
        <w:separator/>
      </w:r>
    </w:p>
  </w:footnote>
  <w:footnote w:type="continuationSeparator" w:id="0">
    <w:p w14:paraId="33F7C0FC" w14:textId="77777777" w:rsidR="000A3A61" w:rsidRDefault="000A3A61" w:rsidP="00C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1A63D" w14:textId="489324FB" w:rsidR="00066346" w:rsidRDefault="00066346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666D26D5"/>
    <w:multiLevelType w:val="hybridMultilevel"/>
    <w:tmpl w:val="DBDAC15C"/>
    <w:lvl w:ilvl="0" w:tplc="F3EA0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4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78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66346"/>
    <w:rsid w:val="000852DD"/>
    <w:rsid w:val="00085BA0"/>
    <w:rsid w:val="00097C70"/>
    <w:rsid w:val="000A16F5"/>
    <w:rsid w:val="000A3A61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1A93"/>
    <w:rsid w:val="001B377F"/>
    <w:rsid w:val="001B7AC8"/>
    <w:rsid w:val="001C732C"/>
    <w:rsid w:val="001D4E68"/>
    <w:rsid w:val="001D59BA"/>
    <w:rsid w:val="001E6AD1"/>
    <w:rsid w:val="001F3C6A"/>
    <w:rsid w:val="002015F7"/>
    <w:rsid w:val="0023620F"/>
    <w:rsid w:val="0023757B"/>
    <w:rsid w:val="00244D38"/>
    <w:rsid w:val="002561DA"/>
    <w:rsid w:val="00263FA0"/>
    <w:rsid w:val="002800EE"/>
    <w:rsid w:val="002814F6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3A80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2F4C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A4900"/>
    <w:rsid w:val="00EA7AA0"/>
    <w:rsid w:val="00EB164B"/>
    <w:rsid w:val="00EB1AA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2023-12-22T05:40:00Z</cp:lastPrinted>
  <dcterms:created xsi:type="dcterms:W3CDTF">2024-05-08T06:46:00Z</dcterms:created>
  <dcterms:modified xsi:type="dcterms:W3CDTF">2024-05-08T06:46:00Z</dcterms:modified>
</cp:coreProperties>
</file>