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 ?>
<Relationships xmlns="http://schemas.openxmlformats.org/package/2006/relationships">
  <Relationship Id="rId3" Target="docProps/core.xml" Type="http://schemas.openxmlformats.org/package/2006/relationships/metadata/core-properties"/>
  <Relationship Id="rId2" Target="docProps/app.xml" Type="http://schemas.openxmlformats.org/officeDocument/2006/relationships/extended-properties"/>
  <Relationship Id="rId1" Target="word/document.xml" Type="http://schemas.openxmlformats.org/officeDocument/2006/relationships/officeDocument"/>
</Relationships>

</file>

<file path=word/document.xml><?xml version="1.0" encoding="utf-8"?>
<w:documen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body>
    <w:p w14:paraId="03000000">
      <w:pPr>
        <w:widowControl w:val="0"/>
        <w:ind w:firstLine="0" w:left="0" w:right="-2"/>
        <w:jc w:val="center"/>
        <w:rPr>
          <w:b w:val="1"/>
          <w:color w:themeColor="text1" w:val="000000"/>
        </w:rPr>
      </w:pPr>
    </w:p>
    <w:p w14:paraId="04000000">
      <w:pPr>
        <w:widowControl w:val="0"/>
        <w:ind w:firstLine="0" w:left="0" w:right="-2"/>
        <w:jc w:val="center"/>
        <w:rPr>
          <w:b w:val="1"/>
          <w:color w:themeColor="text1" w:val="000000"/>
        </w:rPr>
      </w:pPr>
    </w:p>
    <w:p w14:paraId="05000000">
      <w:pPr>
        <w:widowControl w:val="0"/>
        <w:ind w:firstLine="0" w:left="0" w:right="-2"/>
        <w:jc w:val="center"/>
        <w:rPr>
          <w:b w:val="1"/>
          <w:color w:themeColor="text1" w:val="000000"/>
        </w:rPr>
      </w:pPr>
      <w:r>
        <w:rPr>
          <w:b w:val="1"/>
          <w:color w:themeColor="text1" w:val="000000"/>
        </w:rPr>
        <w:t>РОСТОВСКАЯ ОБЛАСТЬ</w:t>
      </w:r>
    </w:p>
    <w:p w14:paraId="06000000">
      <w:pPr>
        <w:widowControl w:val="0"/>
        <w:ind w:firstLine="0" w:left="0" w:right="-2"/>
        <w:jc w:val="center"/>
        <w:rPr>
          <w:b w:val="1"/>
          <w:color w:themeColor="text1" w:val="000000"/>
        </w:rPr>
      </w:pPr>
      <w:r>
        <w:rPr>
          <w:b w:val="1"/>
          <w:color w:themeColor="text1" w:val="000000"/>
        </w:rPr>
        <w:t>МУНИЦИПАЛЬНОЕ ОБРАЗОВАНИЕ</w:t>
      </w:r>
    </w:p>
    <w:p w14:paraId="07000000">
      <w:pPr>
        <w:widowControl w:val="0"/>
        <w:ind w:firstLine="0" w:left="0" w:right="-2"/>
        <w:jc w:val="center"/>
        <w:rPr>
          <w:b w:val="1"/>
          <w:color w:themeColor="text1" w:val="000000"/>
        </w:rPr>
      </w:pPr>
      <w:r>
        <w:rPr>
          <w:b w:val="1"/>
          <w:color w:themeColor="text1" w:val="000000"/>
        </w:rPr>
        <w:t>«</w:t>
      </w:r>
      <w:r>
        <w:rPr>
          <w:b w:val="1"/>
          <w:color w:themeColor="text1" w:val="000000"/>
        </w:rPr>
        <w:t>АНДРЕЕВО-МЕЛЕНТЬЕВСКОЕ</w:t>
      </w:r>
      <w:r>
        <w:rPr>
          <w:b w:val="1"/>
          <w:color w:themeColor="text1" w:val="000000"/>
        </w:rPr>
        <w:t xml:space="preserve"> СЕЛЬСКОЕ ПОСЕЛЕНИЕ»</w:t>
      </w:r>
    </w:p>
    <w:p w14:paraId="08000000">
      <w:pPr>
        <w:widowControl w:val="0"/>
        <w:ind w:firstLine="0" w:left="0" w:right="-2"/>
        <w:jc w:val="center"/>
        <w:rPr>
          <w:b w:val="1"/>
          <w:color w:themeColor="text1" w:val="000000"/>
        </w:rPr>
      </w:pPr>
      <w:r>
        <w:rPr>
          <w:b w:val="1"/>
          <w:color w:themeColor="text1" w:val="000000"/>
        </w:rPr>
        <w:t xml:space="preserve">СОБРАНИЕ ДЕПУТАТОВ </w:t>
      </w:r>
      <w:r>
        <w:rPr>
          <w:b w:val="1"/>
          <w:color w:themeColor="text1" w:val="000000"/>
        </w:rPr>
        <w:t>АНДРЕЕВО-МЕЛЕНТЬЕВСКОГО</w:t>
      </w:r>
      <w:r>
        <w:rPr>
          <w:b w:val="1"/>
          <w:color w:themeColor="text1" w:val="000000"/>
        </w:rPr>
        <w:t xml:space="preserve"> </w:t>
      </w:r>
    </w:p>
    <w:p w14:paraId="09000000">
      <w:pPr>
        <w:widowControl w:val="0"/>
        <w:ind w:firstLine="0" w:left="0" w:right="-2"/>
        <w:jc w:val="center"/>
        <w:rPr>
          <w:b w:val="1"/>
          <w:color w:themeColor="text1" w:val="000000"/>
        </w:rPr>
      </w:pPr>
      <w:r>
        <w:rPr>
          <w:b w:val="1"/>
          <w:color w:themeColor="text1" w:val="000000"/>
        </w:rPr>
        <w:t>СЕЛЬСКОГО ПОСЕЛЕНИЯ</w:t>
      </w:r>
    </w:p>
    <w:p w14:paraId="0A000000">
      <w:pPr>
        <w:widowControl w:val="0"/>
        <w:ind w:firstLine="0" w:left="0"/>
        <w:jc w:val="center"/>
        <w:rPr>
          <w:b w:val="1"/>
          <w:color w:themeColor="text1" w:val="000000"/>
        </w:rPr>
      </w:pPr>
    </w:p>
    <w:p w14:paraId="0B000000">
      <w:pPr>
        <w:widowControl w:val="0"/>
        <w:ind w:firstLine="0" w:left="0"/>
        <w:jc w:val="center"/>
        <w:rPr>
          <w:b w:val="1"/>
          <w:color w:val="FF0000"/>
          <w:spacing w:val="60"/>
          <w:sz w:val="28"/>
        </w:rPr>
      </w:pPr>
      <w:r>
        <w:rPr>
          <w:b w:val="1"/>
          <w:color w:themeColor="text1" w:val="000000"/>
          <w:spacing w:val="60"/>
          <w:sz w:val="28"/>
        </w:rPr>
        <w:t xml:space="preserve">РЕШЕНИЕ </w:t>
      </w:r>
      <w:r>
        <w:rPr>
          <w:b w:val="1"/>
          <w:spacing w:val="60"/>
          <w:sz w:val="28"/>
        </w:rPr>
        <w:t>№ 105</w:t>
      </w:r>
    </w:p>
    <w:p w14:paraId="0C000000">
      <w:pPr>
        <w:ind/>
        <w:jc w:val="center"/>
        <w:rPr>
          <w:b w:val="1"/>
        </w:rPr>
      </w:pPr>
    </w:p>
    <w:p w14:paraId="0D000000">
      <w:pPr>
        <w:ind w:firstLine="0" w:left="0"/>
        <w:jc w:val="center"/>
      </w:pPr>
      <w:r>
        <w:t xml:space="preserve">«Об организации и проведении на территории </w:t>
      </w:r>
      <w:r>
        <w:t>Андреево-Мелентьевского</w:t>
      </w:r>
      <w:r>
        <w:t xml:space="preserve"> сельского поселения мероприятий по увековечению памяти погибших (умерших) участников специальной военной операции»</w:t>
      </w:r>
    </w:p>
    <w:tbl>
      <w:tblPr>
        <w:tblStyle w:val="Style_3"/>
        <w:tblLayout w:type="fixed"/>
      </w:tblPr>
      <w:tblGrid>
        <w:gridCol w:w="3221"/>
        <w:gridCol w:w="2887"/>
        <w:gridCol w:w="3531"/>
      </w:tblGrid>
      <w:tr>
        <w:tc>
          <w:tcPr>
            <w:tcW w:type="dxa" w:w="3221"/>
          </w:tcPr>
          <w:p w14:paraId="0E000000">
            <w:pPr>
              <w:widowControl w:val="0"/>
              <w:ind w:firstLine="0" w:left="0"/>
              <w:jc w:val="center"/>
            </w:pPr>
          </w:p>
          <w:p w14:paraId="0F000000">
            <w:pPr>
              <w:widowControl w:val="0"/>
              <w:ind w:firstLine="0" w:left="0"/>
              <w:jc w:val="center"/>
            </w:pPr>
            <w:r>
              <w:t>Принято</w:t>
            </w:r>
          </w:p>
          <w:p w14:paraId="10000000">
            <w:pPr>
              <w:widowControl w:val="0"/>
              <w:ind w:firstLine="0" w:left="0"/>
              <w:jc w:val="center"/>
            </w:pPr>
            <w:r>
              <w:t>Собранием депутатов</w:t>
            </w:r>
          </w:p>
        </w:tc>
        <w:tc>
          <w:tcPr>
            <w:tcW w:type="dxa" w:w="2887"/>
          </w:tcPr>
          <w:p w14:paraId="11000000">
            <w:pPr>
              <w:widowControl w:val="0"/>
              <w:ind/>
              <w:jc w:val="center"/>
            </w:pPr>
          </w:p>
        </w:tc>
        <w:tc>
          <w:tcPr>
            <w:tcW w:type="dxa" w:w="3531"/>
          </w:tcPr>
          <w:p w14:paraId="12000000">
            <w:pPr>
              <w:widowControl w:val="0"/>
              <w:ind w:firstLine="0" w:left="0"/>
            </w:pPr>
          </w:p>
          <w:p w14:paraId="13000000">
            <w:pPr>
              <w:widowControl w:val="0"/>
              <w:ind w:firstLine="0" w:left="0"/>
            </w:pPr>
          </w:p>
          <w:p w14:paraId="14000000">
            <w:pPr>
              <w:widowControl w:val="0"/>
              <w:ind w:firstLine="0" w:left="0"/>
              <w:jc w:val="center"/>
            </w:pPr>
            <w:r>
              <w:t>«05» сентября 2024 года</w:t>
            </w:r>
          </w:p>
        </w:tc>
      </w:tr>
    </w:tbl>
    <w:p w14:paraId="15000000">
      <w:pPr>
        <w:widowControl w:val="0"/>
        <w:ind w:firstLine="0" w:left="0"/>
        <w:jc w:val="both"/>
      </w:pPr>
    </w:p>
    <w:p w14:paraId="16000000">
      <w:pPr>
        <w:widowControl w:val="0"/>
        <w:ind/>
        <w:jc w:val="both"/>
      </w:pPr>
      <w:r>
        <w:t xml:space="preserve">В целях проявления глубокого уважения и сохранения памяти о погибших (умерших) участниках специальной военной операции, проживавших, обучавшихся или работавших на территории </w:t>
      </w:r>
      <w:r>
        <w:t>Андреево-Мелентьевского</w:t>
      </w:r>
      <w:r>
        <w:t xml:space="preserve"> сельского поселения, патриотического воспитания граждан, в соответствии с Законом Российской Федерации от 14.01.1993 № 4292-1 «Об увековечении памяти погибших при защите Отечества», указом Губернатора Ростовской области от 04.04.2024 № 26 «О мерах по увековечению памяти погибших (умерших) участников специальной военной операции», руководствуясь Уставом муниципального образования «</w:t>
      </w:r>
      <w:r>
        <w:t>Андреево-Мелентьевское</w:t>
      </w:r>
      <w:r>
        <w:t xml:space="preserve"> сельское поселение», принятым решением Собрания депутатов </w:t>
      </w:r>
      <w:r>
        <w:t>Андреево-Мелентьевского</w:t>
      </w:r>
      <w:r>
        <w:t xml:space="preserve"> сельского поселения от 1</w:t>
      </w:r>
      <w:r>
        <w:t>2</w:t>
      </w:r>
      <w:r>
        <w:t>.0</w:t>
      </w:r>
      <w:r>
        <w:t>5</w:t>
      </w:r>
      <w:r>
        <w:t>.20</w:t>
      </w:r>
      <w:r>
        <w:t>17</w:t>
      </w:r>
      <w:r>
        <w:t xml:space="preserve"> № </w:t>
      </w:r>
      <w:r>
        <w:t>47</w:t>
      </w:r>
      <w:r>
        <w:t xml:space="preserve">, Собрание депутатов </w:t>
      </w:r>
      <w:r>
        <w:t>Андреево-Мелентьевского</w:t>
      </w:r>
      <w:r>
        <w:t xml:space="preserve"> сельского поселения</w:t>
      </w:r>
    </w:p>
    <w:p w14:paraId="17000000">
      <w:pPr>
        <w:widowControl w:val="0"/>
        <w:ind/>
        <w:jc w:val="center"/>
        <w:outlineLvl w:val="0"/>
      </w:pPr>
      <w:r>
        <w:t>РЕШИЛО:</w:t>
      </w:r>
    </w:p>
    <w:p w14:paraId="18000000">
      <w:pPr>
        <w:ind/>
        <w:jc w:val="both"/>
        <w:outlineLvl w:val="0"/>
      </w:pPr>
      <w:r>
        <w:t xml:space="preserve">1. Создать комиссию </w:t>
      </w:r>
      <w:r>
        <w:t>Андреево-Мелентьевского</w:t>
      </w:r>
      <w:r>
        <w:t xml:space="preserve"> сельского поселения по увековечению памяти погибших (умерших) участников специальной военной операции (далее – Комиссия).</w:t>
      </w:r>
    </w:p>
    <w:p w14:paraId="19000000">
      <w:pPr>
        <w:ind/>
        <w:jc w:val="both"/>
        <w:outlineLvl w:val="0"/>
      </w:pPr>
      <w:r>
        <w:t>2. Утвердить:</w:t>
      </w:r>
    </w:p>
    <w:p w14:paraId="1A000000">
      <w:pPr>
        <w:ind/>
        <w:jc w:val="both"/>
        <w:outlineLvl w:val="0"/>
      </w:pPr>
      <w:r>
        <w:t xml:space="preserve">1) Порядок организации и проведения на территории </w:t>
      </w:r>
      <w:r>
        <w:t>Андреево-Мелентьевского</w:t>
      </w:r>
      <w:r>
        <w:t xml:space="preserve"> сельского поселения мероприятий по увековечению памяти погибших (умерших) участников специальной военной операции согласно приложению 1;</w:t>
      </w:r>
    </w:p>
    <w:p w14:paraId="1B000000">
      <w:pPr>
        <w:ind/>
        <w:jc w:val="both"/>
        <w:outlineLvl w:val="0"/>
      </w:pPr>
      <w:r>
        <w:t>2) Положение о Комиссии согласно приложению 2;</w:t>
      </w:r>
    </w:p>
    <w:p w14:paraId="1C000000">
      <w:pPr>
        <w:ind/>
        <w:jc w:val="both"/>
        <w:outlineLvl w:val="0"/>
      </w:pPr>
      <w:r>
        <w:t>3) состав Комиссии согласно приложению 3.</w:t>
      </w:r>
    </w:p>
    <w:p w14:paraId="1D000000">
      <w:pPr>
        <w:widowControl w:val="0"/>
        <w:ind/>
        <w:jc w:val="both"/>
      </w:pPr>
      <w:r>
        <w:t>3. Настоящее решение вступает в силу со дня его официального опубликования.</w:t>
      </w:r>
    </w:p>
    <w:p w14:paraId="1E000000">
      <w:pPr>
        <w:widowControl w:val="0"/>
        <w:ind/>
        <w:jc w:val="both"/>
      </w:pPr>
      <w:r>
        <w:t xml:space="preserve">4. Контроль за исполнением настоящего решения возложить на председателя </w:t>
      </w:r>
      <w:r>
        <w:rPr>
          <w:i w:val="0"/>
          <w:color w:val="000000"/>
        </w:rPr>
        <w:t xml:space="preserve">комиссии </w:t>
      </w:r>
      <w:r>
        <w:t xml:space="preserve">Собрания депутатов </w:t>
      </w:r>
      <w:r>
        <w:t>Андреево-Мелентьевского</w:t>
      </w:r>
      <w:r>
        <w:t xml:space="preserve"> сельского поселения</w:t>
      </w:r>
      <w:r>
        <w:rPr>
          <w:i w:val="1"/>
          <w:color w:val="FF0000"/>
          <w:sz w:val="24"/>
        </w:rPr>
        <w:t xml:space="preserve"> </w:t>
      </w:r>
      <w:r>
        <w:rPr>
          <w:rFonts w:ascii="Times New Roman" w:hAnsi="Times New Roman"/>
          <w:sz w:val="24"/>
        </w:rPr>
        <w:t>по земельным вопросам, строительству, жилищно-коммунальному хозяйству, благоустройству, транспорту, связи – Некачева Алексея Васильевича</w:t>
      </w:r>
      <w:r>
        <w:rPr>
          <w:i w:val="1"/>
          <w:color w:val="FF0000"/>
        </w:rPr>
        <w:t xml:space="preserve"> </w:t>
      </w:r>
      <w:r>
        <w:t>.</w:t>
      </w:r>
    </w:p>
    <w:p w14:paraId="1F000000">
      <w:pPr>
        <w:widowControl w:val="0"/>
        <w:ind/>
        <w:jc w:val="both"/>
      </w:pPr>
    </w:p>
    <w:p w14:paraId="20000000">
      <w:pPr>
        <w:widowControl w:val="0"/>
        <w:ind w:firstLine="0" w:left="0"/>
        <w:outlineLvl w:val="0"/>
      </w:pPr>
    </w:p>
    <w:p w14:paraId="21000000">
      <w:pPr>
        <w:widowControl w:val="0"/>
        <w:ind w:firstLine="0" w:left="0"/>
        <w:outlineLvl w:val="0"/>
      </w:pPr>
      <w:r>
        <w:t>Председатель Собрания депутатов-</w:t>
      </w:r>
    </w:p>
    <w:p w14:paraId="22000000">
      <w:pPr>
        <w:widowControl w:val="0"/>
        <w:tabs>
          <w:tab w:leader="none" w:pos="8505" w:val="left"/>
        </w:tabs>
        <w:ind w:firstLine="0" w:left="0"/>
        <w:outlineLvl w:val="0"/>
      </w:pPr>
      <w:r>
        <w:t xml:space="preserve">глава </w:t>
      </w:r>
      <w:r>
        <w:t>Андреево-Мелентьевского</w:t>
      </w:r>
      <w:r>
        <w:t xml:space="preserve"> сельского поселения </w:t>
      </w:r>
      <w:r>
        <w:t xml:space="preserve">                        </w:t>
      </w:r>
      <w:r>
        <w:t>Э.А.Хруленко</w:t>
      </w:r>
    </w:p>
    <w:p w14:paraId="23000000">
      <w:pPr>
        <w:widowControl w:val="0"/>
        <w:ind w:firstLine="0" w:left="0"/>
      </w:pPr>
    </w:p>
    <w:p w14:paraId="24000000">
      <w:pPr>
        <w:widowControl w:val="0"/>
        <w:ind w:firstLine="0" w:left="0"/>
        <w:rPr>
          <w:sz w:val="24"/>
        </w:rPr>
      </w:pPr>
      <w:r>
        <w:rPr>
          <w:sz w:val="24"/>
        </w:rPr>
        <w:t xml:space="preserve">с. </w:t>
      </w:r>
      <w:r>
        <w:rPr>
          <w:sz w:val="24"/>
        </w:rPr>
        <w:t>Андреево-Мелентьевское</w:t>
      </w:r>
    </w:p>
    <w:p w14:paraId="25000000">
      <w:pPr>
        <w:widowControl w:val="0"/>
        <w:ind w:firstLine="0" w:left="0"/>
        <w:rPr>
          <w:color w:val="000000"/>
          <w:sz w:val="24"/>
        </w:rPr>
      </w:pPr>
      <w:r>
        <w:rPr>
          <w:color w:val="000000"/>
          <w:sz w:val="24"/>
        </w:rPr>
        <w:t>«</w:t>
      </w:r>
      <w:r>
        <w:rPr>
          <w:color w:val="000000"/>
          <w:sz w:val="24"/>
        </w:rPr>
        <w:t>05</w:t>
      </w:r>
      <w:r>
        <w:rPr>
          <w:color w:val="000000"/>
          <w:sz w:val="24"/>
        </w:rPr>
        <w:t xml:space="preserve">» </w:t>
      </w:r>
      <w:r>
        <w:rPr>
          <w:color w:val="000000"/>
          <w:sz w:val="24"/>
        </w:rPr>
        <w:t>сентября</w:t>
      </w:r>
      <w:r>
        <w:rPr>
          <w:color w:val="000000"/>
          <w:sz w:val="24"/>
        </w:rPr>
        <w:t xml:space="preserve"> 2024 года</w:t>
      </w:r>
    </w:p>
    <w:p w14:paraId="26000000">
      <w:pPr>
        <w:widowControl w:val="0"/>
        <w:ind w:firstLine="0" w:left="0"/>
        <w:rPr>
          <w:color w:val="000000"/>
          <w:sz w:val="24"/>
        </w:rPr>
      </w:pPr>
      <w:r>
        <w:rPr>
          <w:color w:val="000000"/>
          <w:sz w:val="24"/>
        </w:rPr>
        <w:t xml:space="preserve">№ </w:t>
      </w:r>
      <w:r>
        <w:rPr>
          <w:color w:val="000000"/>
          <w:sz w:val="24"/>
        </w:rPr>
        <w:t>105</w:t>
      </w:r>
    </w:p>
    <w:p w14:paraId="27000000">
      <w:pPr>
        <w:widowControl w:val="0"/>
        <w:tabs>
          <w:tab w:leader="none" w:pos="7797" w:val="left"/>
        </w:tabs>
        <w:ind w:firstLine="0" w:left="0"/>
        <w:outlineLvl w:val="0"/>
      </w:pPr>
    </w:p>
    <w:p w14:paraId="28000000">
      <w:pPr>
        <w:widowControl w:val="0"/>
        <w:tabs>
          <w:tab w:leader="none" w:pos="7797" w:val="left"/>
        </w:tabs>
        <w:ind w:firstLine="0" w:left="0"/>
        <w:outlineLvl w:val="0"/>
      </w:pPr>
    </w:p>
    <w:p w14:paraId="29000000">
      <w:pPr>
        <w:widowControl w:val="0"/>
        <w:tabs>
          <w:tab w:leader="none" w:pos="7797" w:val="left"/>
        </w:tabs>
        <w:ind w:firstLine="0" w:left="0"/>
        <w:outlineLvl w:val="0"/>
      </w:pPr>
    </w:p>
    <w:p w14:paraId="2A000000">
      <w:pPr>
        <w:widowControl w:val="0"/>
        <w:tabs>
          <w:tab w:leader="none" w:pos="7797" w:val="left"/>
        </w:tabs>
        <w:ind w:firstLine="0" w:left="0"/>
        <w:outlineLvl w:val="0"/>
      </w:pPr>
    </w:p>
    <w:p w14:paraId="2B000000">
      <w:pPr>
        <w:widowControl w:val="0"/>
        <w:tabs>
          <w:tab w:leader="none" w:pos="7797" w:val="left"/>
        </w:tabs>
        <w:ind w:firstLine="0" w:left="0"/>
        <w:outlineLvl w:val="0"/>
      </w:pPr>
    </w:p>
    <w:p w14:paraId="2C000000">
      <w:pPr>
        <w:widowControl w:val="0"/>
        <w:tabs>
          <w:tab w:leader="none" w:pos="7797" w:val="left"/>
        </w:tabs>
        <w:ind w:firstLine="0" w:left="0"/>
        <w:outlineLvl w:val="0"/>
      </w:pPr>
    </w:p>
    <w:p w14:paraId="2D000000">
      <w:pPr>
        <w:widowControl w:val="0"/>
        <w:tabs>
          <w:tab w:leader="none" w:pos="7797" w:val="left"/>
        </w:tabs>
        <w:ind w:firstLine="0" w:left="0"/>
        <w:outlineLvl w:val="0"/>
      </w:pPr>
    </w:p>
    <w:p w14:paraId="2E000000">
      <w:pPr>
        <w:widowControl w:val="0"/>
        <w:tabs>
          <w:tab w:leader="none" w:pos="7797" w:val="left"/>
        </w:tabs>
        <w:ind w:firstLine="0" w:left="0"/>
        <w:outlineLvl w:val="0"/>
      </w:pPr>
    </w:p>
    <w:p w14:paraId="2F000000">
      <w:pPr>
        <w:pageBreakBefore w:val="1"/>
        <w:ind w:firstLine="0" w:left="6096"/>
        <w:jc w:val="right"/>
        <w:rPr>
          <w:sz w:val="24"/>
        </w:rPr>
      </w:pPr>
      <w:r>
        <w:rPr>
          <w:sz w:val="24"/>
        </w:rPr>
        <w:t>Приложение 1</w:t>
      </w:r>
    </w:p>
    <w:p w14:paraId="30000000">
      <w:pPr>
        <w:ind w:firstLine="0" w:left="6096"/>
        <w:jc w:val="right"/>
        <w:rPr>
          <w:sz w:val="24"/>
        </w:rPr>
      </w:pPr>
      <w:r>
        <w:rPr>
          <w:sz w:val="24"/>
        </w:rPr>
        <w:t xml:space="preserve">к решению Собрания депутатов </w:t>
      </w:r>
      <w:r>
        <w:rPr>
          <w:sz w:val="24"/>
        </w:rPr>
        <w:t>Андреево-Мелентьевского</w:t>
      </w:r>
      <w:r>
        <w:rPr>
          <w:sz w:val="24"/>
        </w:rPr>
        <w:t xml:space="preserve"> сельского поселения </w:t>
      </w:r>
    </w:p>
    <w:p w14:paraId="31000000">
      <w:pPr>
        <w:ind w:firstLine="0" w:left="6096"/>
        <w:jc w:val="right"/>
        <w:rPr>
          <w:color w:val="000000"/>
          <w:sz w:val="24"/>
        </w:rPr>
      </w:pPr>
      <w:r>
        <w:rPr>
          <w:color w:val="000000"/>
          <w:sz w:val="24"/>
        </w:rPr>
        <w:t xml:space="preserve">от </w:t>
      </w:r>
      <w:r>
        <w:rPr>
          <w:color w:val="000000"/>
          <w:sz w:val="24"/>
        </w:rPr>
        <w:t>05</w:t>
      </w:r>
      <w:r>
        <w:rPr>
          <w:color w:val="000000"/>
          <w:sz w:val="24"/>
        </w:rPr>
        <w:t>.</w:t>
      </w:r>
      <w:r>
        <w:rPr>
          <w:color w:val="000000"/>
          <w:sz w:val="24"/>
        </w:rPr>
        <w:t>09</w:t>
      </w:r>
      <w:r>
        <w:rPr>
          <w:color w:val="000000"/>
          <w:sz w:val="24"/>
        </w:rPr>
        <w:t>.2024 №</w:t>
      </w:r>
      <w:r>
        <w:rPr>
          <w:color w:val="000000"/>
          <w:sz w:val="24"/>
        </w:rPr>
        <w:t>105</w:t>
      </w:r>
    </w:p>
    <w:p w14:paraId="32000000"/>
    <w:p w14:paraId="33000000">
      <w:pPr>
        <w:ind/>
        <w:jc w:val="center"/>
        <w:rPr>
          <w:b w:val="1"/>
        </w:rPr>
      </w:pPr>
      <w:r>
        <w:rPr>
          <w:b w:val="1"/>
        </w:rPr>
        <w:t>ПОРЯДОК</w:t>
      </w:r>
    </w:p>
    <w:p w14:paraId="34000000">
      <w:pPr>
        <w:ind/>
        <w:jc w:val="center"/>
        <w:rPr>
          <w:b w:val="1"/>
        </w:rPr>
      </w:pPr>
      <w:r>
        <w:rPr>
          <w:b w:val="1"/>
        </w:rPr>
        <w:t xml:space="preserve">организации и проведения на территории </w:t>
      </w:r>
      <w:r>
        <w:rPr>
          <w:b w:val="1"/>
        </w:rPr>
        <w:t>Андреево-Мелентьевского</w:t>
      </w:r>
      <w:r>
        <w:rPr>
          <w:b w:val="1"/>
        </w:rPr>
        <w:t xml:space="preserve"> сельского поселения мероприятий по увековечению памяти погибших (умерших) участников специальной военной операции</w:t>
      </w:r>
    </w:p>
    <w:p w14:paraId="35000000"/>
    <w:p w14:paraId="36000000">
      <w:pPr>
        <w:ind/>
        <w:jc w:val="both"/>
      </w:pPr>
      <w:r>
        <w:t xml:space="preserve">Глава 1. </w:t>
      </w:r>
      <w:r>
        <w:rPr>
          <w:b w:val="1"/>
        </w:rPr>
        <w:t>Общие положения</w:t>
      </w:r>
    </w:p>
    <w:p w14:paraId="37000000">
      <w:pPr>
        <w:ind/>
        <w:jc w:val="both"/>
      </w:pPr>
    </w:p>
    <w:p w14:paraId="38000000">
      <w:pPr>
        <w:ind/>
        <w:jc w:val="both"/>
      </w:pPr>
      <w:r>
        <w:t xml:space="preserve">1. Настоящий Порядок определяет общие условия и порядок проведения на территории </w:t>
      </w:r>
      <w:r>
        <w:t>Андреево-Мелентьевского</w:t>
      </w:r>
      <w:r>
        <w:t xml:space="preserve"> сельского поселения мероприятий по увековечению памяти погибших (умерших) участников специальной военной операции. </w:t>
      </w:r>
    </w:p>
    <w:p w14:paraId="39000000">
      <w:pPr>
        <w:ind/>
        <w:jc w:val="both"/>
        <w:rPr>
          <w:color w:val="000000"/>
        </w:rPr>
      </w:pPr>
      <w:r>
        <w:rPr>
          <w:color w:themeColor="text1" w:val="000000"/>
        </w:rPr>
        <w:t xml:space="preserve">2. На территории </w:t>
      </w:r>
      <w:r>
        <w:rPr>
          <w:color w:themeColor="text1" w:val="000000"/>
        </w:rPr>
        <w:t>Андреево-Мелентьевского</w:t>
      </w:r>
      <w:r>
        <w:rPr>
          <w:color w:themeColor="text1" w:val="000000"/>
        </w:rPr>
        <w:t xml:space="preserve"> сельского поселения увековечению подлежит память о погибших (умерших) участниках специальной военной операции,</w:t>
      </w:r>
      <w:r>
        <w:rPr>
          <w:i w:val="1"/>
          <w:color w:themeColor="text1" w:val="000000"/>
        </w:rPr>
        <w:t xml:space="preserve"> </w:t>
      </w:r>
      <w:r>
        <w:rPr>
          <w:color w:val="000000"/>
        </w:rPr>
        <w:t xml:space="preserve">проживавших, обучавшихся или работавших на территории </w:t>
      </w:r>
      <w:r>
        <w:rPr>
          <w:color w:val="000000"/>
        </w:rPr>
        <w:t>Андреево-Мелентьевского</w:t>
      </w:r>
      <w:r>
        <w:rPr>
          <w:color w:val="000000"/>
        </w:rPr>
        <w:t xml:space="preserve"> сельского поселения.</w:t>
      </w:r>
    </w:p>
    <w:p w14:paraId="3A000000">
      <w:pPr>
        <w:ind/>
        <w:jc w:val="both"/>
      </w:pPr>
      <w:r>
        <w:t xml:space="preserve">3. На территории </w:t>
      </w:r>
      <w:r>
        <w:t>Андреево-Мелентьевского</w:t>
      </w:r>
      <w:r>
        <w:t xml:space="preserve"> сельского поселения формами увековечения памяти погибших (умерших) участников специальной военной операции являются:</w:t>
      </w:r>
    </w:p>
    <w:p w14:paraId="3B000000">
      <w:pPr>
        <w:ind/>
        <w:jc w:val="both"/>
      </w:pPr>
      <w:r>
        <w:t xml:space="preserve">1) создание музеев славы, мемориальных пространств (уголков воинской доблести, боевой славы, экспозиций, инсталляций, выставок, стен памяти, стендов), открытие парт Героев в библиотеках, музеях, образовательных организациях, учреждениях культуры, расположенных на территории </w:t>
      </w:r>
      <w:r>
        <w:t>Андреево-Мелентьевского</w:t>
      </w:r>
      <w:r>
        <w:t xml:space="preserve"> сельского поселения;</w:t>
      </w:r>
    </w:p>
    <w:p w14:paraId="3C000000">
      <w:pPr>
        <w:ind/>
        <w:jc w:val="both"/>
      </w:pPr>
      <w:r>
        <w:t xml:space="preserve">2) присвоение имен погибших (умерших) участников специальной военной операции (почетных наименований) организациям (в том числе образовательным организациям), подразделениям пожарной охраны, спортивным командам, добровольным народным дружинам, добровольным пожарным дружинам, расположенным на территории </w:t>
      </w:r>
      <w:r>
        <w:t>Андреево-Мелентьевского</w:t>
      </w:r>
      <w:r>
        <w:t xml:space="preserve"> сельского поселения;</w:t>
      </w:r>
    </w:p>
    <w:p w14:paraId="3D000000">
      <w:pPr>
        <w:ind/>
        <w:jc w:val="both"/>
      </w:pPr>
      <w:r>
        <w:t>3) проведение учебных занятий, посвященных памяти погибших (умерших) участников специальной военной операции;</w:t>
      </w:r>
    </w:p>
    <w:p w14:paraId="3E000000">
      <w:pPr>
        <w:ind/>
        <w:jc w:val="both"/>
      </w:pPr>
      <w:r>
        <w:t xml:space="preserve">4) публикации в средствах массовой информации и на официальном сайте </w:t>
      </w:r>
      <w:r>
        <w:t>Андреево-Мелентьевского</w:t>
      </w:r>
      <w:r>
        <w:t xml:space="preserve"> сельского поселения в информационно-телекоммуникационной сети «Интернет» (далее – официальный сайт) материалов о погибших (умерших) участниках специальной военной операции;</w:t>
      </w:r>
    </w:p>
    <w:p w14:paraId="3F000000">
      <w:pPr>
        <w:ind/>
        <w:jc w:val="both"/>
      </w:pPr>
      <w:r>
        <w:t>5) присвоение имен погибших (умерших) участников специальной военной операции (почетных наименований) улицам, площадям и другим элементам улично-</w:t>
      </w:r>
      <w:r>
        <w:t xml:space="preserve">дорожной сети, географическим объектам </w:t>
      </w:r>
      <w:r>
        <w:t>Андреево-Мелентьевского</w:t>
      </w:r>
      <w:r>
        <w:t xml:space="preserve"> сельского поселения;</w:t>
      </w:r>
    </w:p>
    <w:p w14:paraId="40000000">
      <w:pPr>
        <w:ind/>
        <w:jc w:val="both"/>
      </w:pPr>
      <w:r>
        <w:t>6) проведение творческих конкурсов, спортивных мероприятий и соревнований, физкультурных мероприятий, посвященных памяти погибших (умерших) участников специальной военной операции.</w:t>
      </w:r>
    </w:p>
    <w:p w14:paraId="41000000">
      <w:pPr>
        <w:ind/>
        <w:jc w:val="both"/>
      </w:pPr>
      <w:r>
        <w:t xml:space="preserve">4. Память погибших (умерших) участников специальной военной операции может быть увековечена на территории </w:t>
      </w:r>
      <w:r>
        <w:t>Андреево-Мелентьевского</w:t>
      </w:r>
      <w:r>
        <w:t xml:space="preserve"> сельского поселения в одной или нескольких формах, предусмотренных пунктом 3 настоящего Порядка.</w:t>
      </w:r>
    </w:p>
    <w:p w14:paraId="42000000">
      <w:pPr>
        <w:ind/>
        <w:jc w:val="both"/>
        <w:rPr>
          <w:color w:val="000000"/>
        </w:rPr>
      </w:pPr>
      <w:r>
        <w:t xml:space="preserve">5. </w:t>
      </w:r>
      <w:r>
        <w:rPr>
          <w:color w:val="000000"/>
        </w:rPr>
        <w:t xml:space="preserve">В формах, предусмотренных подпунктами 2 и 5 пункта 3 настоящего Порядка, может быть увековечена память погибшего (умершего) участника специальной военной операции, удостоенного звания Героя Российской Федерации или награжденного </w:t>
      </w:r>
      <w:r>
        <w:rPr>
          <w:color w:val="000000"/>
          <w:u w:val="single"/>
        </w:rPr>
        <w:t>орденами (или: орденами и медалями)</w:t>
      </w:r>
      <w:r>
        <w:rPr>
          <w:color w:val="000000"/>
        </w:rPr>
        <w:t xml:space="preserve"> Российской Федерации за заслуги, проявленные в ходе участия в специальной военной операции.</w:t>
      </w:r>
    </w:p>
    <w:p w14:paraId="43000000">
      <w:pPr>
        <w:ind/>
        <w:jc w:val="both"/>
      </w:pPr>
      <w:r>
        <w:t xml:space="preserve">6. Финансирование мероприятий по увековечению памяти погибших (умерших) участников специальной военной операции, проводимых на территории </w:t>
      </w:r>
      <w:r>
        <w:t>Андреево-Мелентьевского</w:t>
      </w:r>
      <w:r>
        <w:t xml:space="preserve"> сельского поселения, может осуществляться за счет средств инициаторов проведения указанных мероприятий, бюджета </w:t>
      </w:r>
      <w:r>
        <w:t>Андреево-Мелентьевского</w:t>
      </w:r>
      <w:r>
        <w:t xml:space="preserve"> сельского поселения, а также за счет безвозмездных поступлений от физических и юридических лиц, в том числе добровольных пожертвований.</w:t>
      </w:r>
    </w:p>
    <w:p w14:paraId="44000000">
      <w:pPr>
        <w:ind/>
        <w:jc w:val="both"/>
      </w:pPr>
    </w:p>
    <w:p w14:paraId="45000000">
      <w:pPr>
        <w:ind/>
        <w:jc w:val="both"/>
        <w:rPr>
          <w:b w:val="1"/>
        </w:rPr>
      </w:pPr>
      <w:r>
        <w:t xml:space="preserve">Глава 2. </w:t>
      </w:r>
      <w:r>
        <w:rPr>
          <w:b w:val="1"/>
        </w:rPr>
        <w:t xml:space="preserve">Порядок обращения с инициативой о проведении на территории </w:t>
      </w:r>
      <w:r>
        <w:rPr>
          <w:b w:val="1"/>
        </w:rPr>
        <w:t>Андреево-Мелентьевского</w:t>
      </w:r>
      <w:r>
        <w:rPr>
          <w:b w:val="1"/>
        </w:rPr>
        <w:t xml:space="preserve"> сельского поселения мероприятия по увековечению памяти погибшего (умершего) участника специальной военной операции</w:t>
      </w:r>
    </w:p>
    <w:p w14:paraId="46000000">
      <w:pPr>
        <w:ind/>
        <w:jc w:val="both"/>
      </w:pPr>
    </w:p>
    <w:p w14:paraId="47000000">
      <w:pPr>
        <w:ind/>
        <w:jc w:val="both"/>
      </w:pPr>
      <w:r>
        <w:t xml:space="preserve">7. С инициативой о проведении на территории </w:t>
      </w:r>
      <w:r>
        <w:t>Андреево-Мелентьевского</w:t>
      </w:r>
      <w:r>
        <w:t xml:space="preserve"> сельского поселения мероприятия по увековечению памяти погибшего (умершего) участника специальной военной операции вправе выступать орган государственной власти, орган местного самоуправления, учреждение культуры, образования, общественное, религиозное объединение, трудовой коллектив предприятия, учреждения, организации различной формы собственности, физическое лицо (далее - инициатор).</w:t>
      </w:r>
    </w:p>
    <w:p w14:paraId="48000000">
      <w:pPr>
        <w:ind/>
        <w:jc w:val="both"/>
      </w:pPr>
      <w:r>
        <w:t xml:space="preserve">8. В целях проведения на территории </w:t>
      </w:r>
      <w:r>
        <w:t>Андреево-Мелентьевского</w:t>
      </w:r>
      <w:r>
        <w:t xml:space="preserve"> сельского поселения мероприятия по увековечению памяти погибшего (умершего) участника специальной военной операции инициатор направляет в Администрацию </w:t>
      </w:r>
      <w:r>
        <w:t>Андреево-Мелентьевского</w:t>
      </w:r>
      <w:r>
        <w:t xml:space="preserve"> сельского поселения ходатайство о проведении такого мероприятия. </w:t>
      </w:r>
    </w:p>
    <w:p w14:paraId="49000000">
      <w:pPr>
        <w:ind/>
        <w:jc w:val="both"/>
      </w:pPr>
      <w:r>
        <w:t xml:space="preserve">9. Ходатайство о проведении на территории </w:t>
      </w:r>
      <w:r>
        <w:t>Андреево-Мелентьевского</w:t>
      </w:r>
      <w:r>
        <w:t xml:space="preserve"> сельского поселения мероприятия по увековечению памяти погибшего (умершего) участника специальной военной операции (далее – ходатайство) направляется на бумажном носителе посредством почтового отправления с описью вложения и уведомлением о вручении или представляется инициатором лично или в форме </w:t>
      </w:r>
      <w:r>
        <w:t xml:space="preserve">электронного документа с использованием официальной электронной почты Администрации </w:t>
      </w:r>
      <w:r>
        <w:t>Андреево-Мелентьевского</w:t>
      </w:r>
      <w:r>
        <w:t xml:space="preserve"> сельского поселения.</w:t>
      </w:r>
    </w:p>
    <w:p w14:paraId="4A000000">
      <w:pPr>
        <w:ind/>
        <w:jc w:val="both"/>
      </w:pPr>
      <w:r>
        <w:t xml:space="preserve">Ходатайство в форме электронного документа и приложенные к нему документы удостоверяются электронной подписью инициатора, вид которой определяется в соответствии с </w:t>
      </w:r>
      <w:r>
        <w:fldChar w:fldCharType="begin"/>
      </w:r>
      <w:r>
        <w:instrText>HYPERLINK "consultantplus://offline/ref=A02382625350B9AC8BAB1D7E79661AAB9DEE097E4D36B648DEDA2D36F85D6AC58DE735A1AAE2914CAA102629D3F28B8BF0C19Ad5SCK"</w:instrText>
      </w:r>
      <w:r>
        <w:fldChar w:fldCharType="separate"/>
      </w:r>
      <w:r>
        <w:t>частью 2 статьи 21.1</w:t>
      </w:r>
      <w:r>
        <w:fldChar w:fldCharType="end"/>
      </w:r>
      <w:r>
        <w:t xml:space="preserve"> Федерального закона «Об организации предоставления государственных и муниципальных услуг».</w:t>
      </w:r>
    </w:p>
    <w:p w14:paraId="4B000000">
      <w:pPr>
        <w:ind/>
        <w:jc w:val="both"/>
      </w:pPr>
      <w:r>
        <w:t>10. В ходатайстве указываются:</w:t>
      </w:r>
    </w:p>
    <w:p w14:paraId="4C000000">
      <w:pPr>
        <w:ind/>
        <w:jc w:val="both"/>
      </w:pPr>
      <w:r>
        <w:t>1) сведения о инициаторе: фамилия, имя, отчество, место жительства инициатора и реквизиты документа, удостоверяющего личность инициатора (для физического лица); наименование и место нахождения инициатора (для юридического лица, объединения граждан без образования юридического лица);</w:t>
      </w:r>
    </w:p>
    <w:p w14:paraId="4D000000">
      <w:pPr>
        <w:ind/>
        <w:jc w:val="both"/>
      </w:pPr>
      <w:r>
        <w:t xml:space="preserve">2) сведения о погибшем (умершем) участнике специальной военной операции, память о котором предлагается увековечить: фамилия, имя, отчество, дата и место рождения, </w:t>
      </w:r>
      <w:r>
        <w:rPr>
          <w:color w:val="000000"/>
        </w:rPr>
        <w:t>место жительства, учебы и (или) работы</w:t>
      </w:r>
      <w:r>
        <w:rPr>
          <w:i w:val="1"/>
          <w:color w:val="FF0000"/>
        </w:rPr>
        <w:t xml:space="preserve"> </w:t>
      </w:r>
      <w:r>
        <w:t xml:space="preserve">на территории </w:t>
      </w:r>
      <w:r>
        <w:t>Андреево-Мелентьевского</w:t>
      </w:r>
      <w:r>
        <w:t xml:space="preserve"> сельского поселения до гибели (смерти), краткая биография, краткие сведения о службе и воинском звании, сведения о проявленных в ходе участия в специальной военной операции героизме, мужестве, смелости, отваге, дата и место гибели (смерти);</w:t>
      </w:r>
    </w:p>
    <w:p w14:paraId="4E000000">
      <w:pPr>
        <w:ind/>
        <w:jc w:val="both"/>
      </w:pPr>
      <w:r>
        <w:t>3) предлагаемая форма увековечения памяти погибшего (умершего) участника специальной военной операции в соответствии с пунктом 3 настоящего Порядка и детали ее исполнения;</w:t>
      </w:r>
    </w:p>
    <w:p w14:paraId="4F000000">
      <w:pPr>
        <w:ind/>
        <w:jc w:val="both"/>
      </w:pPr>
      <w:r>
        <w:t>4) предлагаемые источники и объемы финансирования мероприятия по увековечению памяти погибшего (умершего) участника специальной военной операции, если такое мероприятие требует финансовых затрат.</w:t>
      </w:r>
    </w:p>
    <w:p w14:paraId="50000000">
      <w:pPr>
        <w:ind/>
        <w:jc w:val="both"/>
      </w:pPr>
      <w:r>
        <w:t>11. К ходатайству прилагаются:</w:t>
      </w:r>
    </w:p>
    <w:p w14:paraId="51000000">
      <w:pPr>
        <w:ind/>
        <w:jc w:val="both"/>
      </w:pPr>
      <w:r>
        <w:t>1) документы, подтверждающие полномочия представителя инициатора – юридического лица;</w:t>
      </w:r>
    </w:p>
    <w:p w14:paraId="52000000">
      <w:pPr>
        <w:ind/>
        <w:jc w:val="both"/>
      </w:pPr>
      <w:r>
        <w:t xml:space="preserve">2) информационный материал о погибшем (умершем) участнике специальной военной операции, который предлагается использовать при проведении на территории </w:t>
      </w:r>
      <w:r>
        <w:t>Андреево-Мелентьевского</w:t>
      </w:r>
      <w:r>
        <w:t xml:space="preserve"> сельского поселения мероприятия по увековечению памяти погибшего (умершего) участника специальной военной операции в форме, предусмотренной подпунктами 1, 3, 4 или 6 пункта 3 настоящего Порядка. Информационный материал может содержать портретное изображение погибшего (умершего) участника специальной военной операции. Указанный информационный материал должен быть согласован с членами семьи погибшего (умершего) участника специальной военной операции, к которым в целях настоящего Порядка относятся вдова (вдовец) и дети погибшего (умершего) участника специальной военной операции, достигшие совершеннолетия, а при их отсутствии - родители погибшего (умершего) участника специальной военной операции;</w:t>
      </w:r>
    </w:p>
    <w:p w14:paraId="53000000">
      <w:pPr>
        <w:ind/>
        <w:jc w:val="both"/>
        <w:rPr>
          <w:color w:val="000000"/>
        </w:rPr>
      </w:pPr>
      <w:r>
        <w:rPr>
          <w:color w:val="000000"/>
        </w:rPr>
        <w:t xml:space="preserve">3) копии документов, подтверждающих присвоение погибшему (умершему) участнику специальной военной операции звания Героя Российской Федерации или награждение его орденами (или: орденами и медалями) Российской Федерации за </w:t>
      </w:r>
      <w:r>
        <w:rPr>
          <w:color w:val="000000"/>
        </w:rPr>
        <w:t>заслуги, проявленные в ходе участия в специальной военной операции, если предлагается увековечить память погибшего (умершего) участника специальной военной операции в форме, предусмотренной подпунктом 2 или 5 пункта 3 настоящего Порядка;</w:t>
      </w:r>
    </w:p>
    <w:p w14:paraId="54000000">
      <w:pPr>
        <w:ind/>
        <w:jc w:val="both"/>
      </w:pPr>
      <w:r>
        <w:t>4) письменное обязательство инициатора о финансировании мероприятия по увековечению памяти погибшего (умершего) участника специальной военной операции, если такое мероприятие требует финансовых затрат и предлагается провести полностью или частично за счет средств инициатора.</w:t>
      </w:r>
    </w:p>
    <w:p w14:paraId="55000000">
      <w:pPr>
        <w:ind/>
        <w:jc w:val="both"/>
      </w:pPr>
      <w:r>
        <w:t>12. Инициатор несет ответственность за достоверность сведений, указанных в ходатайстве и прилагаемых к нему документах.</w:t>
      </w:r>
    </w:p>
    <w:p w14:paraId="56000000">
      <w:pPr>
        <w:ind/>
        <w:jc w:val="both"/>
      </w:pPr>
      <w:r>
        <w:t xml:space="preserve">13. Ходатайство может быть направлено в Администрацию </w:t>
      </w:r>
      <w:r>
        <w:t>Андреево-Мелентьевского</w:t>
      </w:r>
      <w:r>
        <w:t xml:space="preserve"> сельского поселения не ранее 6 месяцев и не позднее 5 лет со дня гибли (смерти) участника специальной военной операции, память о котором предлагается увековечить.</w:t>
      </w:r>
    </w:p>
    <w:p w14:paraId="57000000">
      <w:pPr>
        <w:ind/>
        <w:jc w:val="both"/>
      </w:pPr>
      <w:r>
        <w:t xml:space="preserve">14. Ограничение, установленное пунктом 13 настоящего Порядка, не распространяется на случаи представления ходатайства в отношении лиц, удостоенных звания Героя Российской Федерации или награжденных орденами </w:t>
      </w:r>
      <w:r>
        <w:rPr>
          <w:color w:val="000000"/>
        </w:rPr>
        <w:t xml:space="preserve">(или: орденами и медалями) </w:t>
      </w:r>
      <w:r>
        <w:t>Российской Федерации за заслуги, проявленные в ходе участия в специальной военной операции.</w:t>
      </w:r>
    </w:p>
    <w:p w14:paraId="58000000">
      <w:pPr>
        <w:ind/>
        <w:jc w:val="both"/>
      </w:pPr>
      <w:r>
        <w:t xml:space="preserve">15. Администрация </w:t>
      </w:r>
      <w:r>
        <w:t>Андреево-Мелентьевского</w:t>
      </w:r>
      <w:r>
        <w:t xml:space="preserve"> сельского поселения в течение десяти дней со дня поступления ходатайства возвращает его инициатору без рассмотрения при наличии хотя бы одного из следующих оснований:</w:t>
      </w:r>
    </w:p>
    <w:p w14:paraId="59000000">
      <w:pPr>
        <w:ind/>
        <w:jc w:val="both"/>
      </w:pPr>
      <w:r>
        <w:t>1) ходатайство не соответствует требованиям пунктов 9 и 10 настоящего Порядка;</w:t>
      </w:r>
    </w:p>
    <w:p w14:paraId="5A000000">
      <w:pPr>
        <w:ind/>
        <w:jc w:val="both"/>
      </w:pPr>
      <w:r>
        <w:t>2) к ходатайству не приложены документы, предусмотренные пунктом 11 настоящего Порядка;</w:t>
      </w:r>
    </w:p>
    <w:p w14:paraId="5B000000">
      <w:pPr>
        <w:ind/>
        <w:jc w:val="both"/>
      </w:pPr>
      <w:r>
        <w:t>3) ходатайство подано с нарушением сроков, установленных пунктом 13 настоящего Порядка, за исключением случая, предусмотренного пунктом 14 настоящего Порядка;</w:t>
      </w:r>
    </w:p>
    <w:p w14:paraId="5C000000">
      <w:pPr>
        <w:ind/>
        <w:jc w:val="both"/>
      </w:pPr>
      <w:r>
        <w:t xml:space="preserve">4) инициатор не относится к кругу лиц, которые в соответствии с пунктом 7 настоящего Порядка вправе выступать с инициативой о проведении на территории </w:t>
      </w:r>
      <w:r>
        <w:t>Андреево-Мелентьевского</w:t>
      </w:r>
      <w:r>
        <w:t xml:space="preserve"> сельского поселения мероприятия по увековечению памяти погибшего (умершего) участника специальной военной операции;</w:t>
      </w:r>
    </w:p>
    <w:p w14:paraId="5D000000">
      <w:pPr>
        <w:ind/>
        <w:jc w:val="both"/>
      </w:pPr>
      <w:r>
        <w:t xml:space="preserve">5) ходатайством предлагается проведение на территории </w:t>
      </w:r>
      <w:r>
        <w:t>Андреево-Мелентьевского</w:t>
      </w:r>
      <w:r>
        <w:t xml:space="preserve"> сельского поселения мероприятия по увековечению памяти погибшего (умершего) участника специальной военной операции в форме, не предусмотренной пунктом 3 настоящего Порядка;</w:t>
      </w:r>
    </w:p>
    <w:p w14:paraId="5E000000">
      <w:pPr>
        <w:ind/>
        <w:jc w:val="both"/>
        <w:rPr>
          <w:color w:themeColor="text1" w:val="000000"/>
        </w:rPr>
      </w:pPr>
      <w:r>
        <w:rPr>
          <w:color w:themeColor="text1" w:val="000000"/>
        </w:rPr>
        <w:t xml:space="preserve">6) ходатайством предлагается проведение на территории </w:t>
      </w:r>
      <w:r>
        <w:rPr>
          <w:color w:themeColor="text1" w:val="000000"/>
        </w:rPr>
        <w:t>Андреево-Мелентьевского</w:t>
      </w:r>
      <w:r>
        <w:rPr>
          <w:color w:themeColor="text1" w:val="000000"/>
        </w:rPr>
        <w:t xml:space="preserve"> сельского поселения мероприятия по увековечению памяти погибшего (умершего) участника специальной военной операции, не относящегося к кругу лиц, указанных в пункте 2 настоящего Порядка.</w:t>
      </w:r>
    </w:p>
    <w:p w14:paraId="5F000000">
      <w:pPr>
        <w:ind/>
        <w:jc w:val="both"/>
      </w:pPr>
    </w:p>
    <w:p w14:paraId="60000000">
      <w:pPr>
        <w:ind/>
        <w:jc w:val="both"/>
      </w:pPr>
      <w:r>
        <w:t xml:space="preserve">Глава 3. </w:t>
      </w:r>
      <w:r>
        <w:rPr>
          <w:b w:val="1"/>
        </w:rPr>
        <w:t>Порядок рассмотрения ходатайства и принятия по нему решения</w:t>
      </w:r>
    </w:p>
    <w:p w14:paraId="61000000">
      <w:pPr>
        <w:ind/>
        <w:jc w:val="both"/>
      </w:pPr>
    </w:p>
    <w:p w14:paraId="62000000">
      <w:pPr>
        <w:ind/>
        <w:jc w:val="both"/>
      </w:pPr>
      <w:r>
        <w:t xml:space="preserve">16. Ходатайство, поступившее в Администрацию </w:t>
      </w:r>
      <w:r>
        <w:t>Андреево-Мелентьевского</w:t>
      </w:r>
      <w:r>
        <w:t xml:space="preserve"> сельского поселения, рассматривается в течение 30 дней со дня его регистрации.</w:t>
      </w:r>
    </w:p>
    <w:p w14:paraId="63000000">
      <w:pPr>
        <w:ind/>
        <w:jc w:val="both"/>
      </w:pPr>
      <w:r>
        <w:t xml:space="preserve">В исключительных случаях, а также в случае направления запроса, предусмотренного </w:t>
      </w:r>
      <w:r>
        <w:rPr>
          <w:color w:themeColor="text1" w:val="000000"/>
        </w:rPr>
        <w:t>абзацем первым пункта 21 настоящего Порядка,</w:t>
      </w:r>
      <w:r>
        <w:t xml:space="preserve"> глава Администрации </w:t>
      </w:r>
      <w:r>
        <w:t>Андреево-Мелентьевского</w:t>
      </w:r>
      <w:r>
        <w:t xml:space="preserve"> сельского поселения вправе продлить срок рассмотрения ходатайства не более чем на 30 дней, уведомив о продлении срока его рассмотрения инициатора.</w:t>
      </w:r>
    </w:p>
    <w:p w14:paraId="64000000">
      <w:pPr>
        <w:ind/>
        <w:jc w:val="both"/>
      </w:pPr>
      <w:r>
        <w:t xml:space="preserve">17. Поступившее ходатайство в течение двух дней со дня его регистрации направляется в комиссию </w:t>
      </w:r>
      <w:r>
        <w:t>Андреево-Мелентьевского</w:t>
      </w:r>
      <w:r>
        <w:t xml:space="preserve"> сельского поселения по увековечению памяти погибших (умерших) участников специальной военной операции (далее – Комиссия) для предварительного рассмотрения.</w:t>
      </w:r>
    </w:p>
    <w:p w14:paraId="65000000">
      <w:pPr>
        <w:ind/>
        <w:jc w:val="both"/>
      </w:pPr>
      <w:r>
        <w:t>Решения Комиссии носят рекомендательный характер.</w:t>
      </w:r>
    </w:p>
    <w:p w14:paraId="66000000">
      <w:pPr>
        <w:ind/>
        <w:jc w:val="both"/>
      </w:pPr>
      <w:r>
        <w:t xml:space="preserve">18. Порядок деятельности Комиссии и ее состав определяются нормативными правовыми актами Собрания депутатов </w:t>
      </w:r>
      <w:r>
        <w:t>Андреево-Мелентьевского</w:t>
      </w:r>
      <w:r>
        <w:t xml:space="preserve"> сельского поселения.</w:t>
      </w:r>
    </w:p>
    <w:p w14:paraId="67000000">
      <w:pPr>
        <w:ind/>
        <w:jc w:val="both"/>
      </w:pPr>
      <w:r>
        <w:t>Комиссия состоит из председателя, секретаря и членов Комиссии.</w:t>
      </w:r>
    </w:p>
    <w:p w14:paraId="68000000">
      <w:pPr>
        <w:ind/>
        <w:jc w:val="both"/>
      </w:pPr>
      <w:r>
        <w:t xml:space="preserve">Численный состав Комиссии не может быть </w:t>
      </w:r>
      <w:r>
        <w:rPr>
          <w:color w:val="000000"/>
        </w:rPr>
        <w:t>менее пяти человек.</w:t>
      </w:r>
      <w:r>
        <w:t xml:space="preserve"> </w:t>
      </w:r>
    </w:p>
    <w:p w14:paraId="69000000">
      <w:pPr>
        <w:ind/>
        <w:jc w:val="both"/>
      </w:pPr>
      <w:r>
        <w:t xml:space="preserve">19. В состав Комиссии входят представители органов местного самоуправления </w:t>
      </w:r>
      <w:r>
        <w:t>Андреево-Мелентьевского</w:t>
      </w:r>
      <w:r>
        <w:t xml:space="preserve"> сельского поселения, общественных объединений и организаций, ведущих на территории </w:t>
      </w:r>
      <w:r>
        <w:t>Андреево-Мелентьевского</w:t>
      </w:r>
      <w:r>
        <w:t xml:space="preserve"> сельского поселения работу по военно-патриотическому и (или) духовно-нравственному воспитанию граждан, социально ориентированных некоммерческих организаций, осуществляющих на территории </w:t>
      </w:r>
      <w:r>
        <w:t>Андреево-Мелентьевского</w:t>
      </w:r>
      <w:r>
        <w:t xml:space="preserve"> сельского поселения деятельность в сфере патриотического, в том числе военно-патриотического воспитания, местных военно-патриотических клубов, учреждений образования и культуры.</w:t>
      </w:r>
    </w:p>
    <w:p w14:paraId="6A000000">
      <w:pPr>
        <w:ind/>
        <w:jc w:val="both"/>
      </w:pPr>
      <w:r>
        <w:rPr>
          <w:color w:themeColor="text1" w:val="000000"/>
        </w:rPr>
        <w:t xml:space="preserve">20. В случае поступления ходатайства, указанного в абзаце первом пункта 21 настоящего Порядка, для участия в заседании Комиссии по рассмотрению данного ходатайства приглашаются </w:t>
      </w:r>
      <w:r>
        <w:t>руководители учреждения, организации или объединения и учредители, осуществляющие полномочия собственника имущества учреждения, организации (при необходимости), в которых предлагается провести мероприятие по увековечению памяти погибшего (умершего) участника специальной военной операции в указанной в ходатайстве форме.</w:t>
      </w:r>
    </w:p>
    <w:p w14:paraId="6B000000">
      <w:pPr>
        <w:ind/>
        <w:jc w:val="both"/>
      </w:pPr>
      <w:r>
        <w:t xml:space="preserve">21. В случае поступления ходатайства с предложением провести мероприятие по увековечению памяти погибшего (умершего) участника специальной военной операции в форме, предусмотренной подпунктом 1, 2 или 3 пункта 3 настоящего Порядка, Администрация </w:t>
      </w:r>
      <w:r>
        <w:t>Андреево-Мелентьевского</w:t>
      </w:r>
      <w:r>
        <w:t xml:space="preserve"> сельского поселения в течение двух дней со дня регистрации указанного ходатайства направляет руководителю соответствующего учреждения, организации или объединения запрос о даче согласия на проведение мероприятия по увековечению памяти погибшего (умершего) </w:t>
      </w:r>
      <w:r>
        <w:t>участника специальной военной операции в указанной в ходатайстве форме. К указанному запросу прилагается копия ходатайства.</w:t>
      </w:r>
    </w:p>
    <w:p w14:paraId="6C000000">
      <w:pPr>
        <w:ind/>
        <w:jc w:val="both"/>
      </w:pPr>
      <w:r>
        <w:t xml:space="preserve">Руководитель учреждения, организации или объединения, в которые направлен запрос в соответствии с абзацем первым настоящего пункта, обязан предоставить в Администрацию </w:t>
      </w:r>
      <w:r>
        <w:t>Андреево-Мелентьевского</w:t>
      </w:r>
      <w:r>
        <w:t xml:space="preserve"> сельского поселения письменный ответ на указанный запрос в течение 10 дней со дня его получения. В случае необходимости согласования мероприятия по увековечению памяти погибшего (умершего) участника специальной военной операции в указанной в ходатайстве форме с органом исполнительной власти Ростовской области или органом местного самоуправления, осуществляющим функции и полномочия учредителя данного учреждения, организации, такое согласование осуществляется руководителем учреждения, организации самостоятельно.</w:t>
      </w:r>
    </w:p>
    <w:p w14:paraId="6D000000">
      <w:pPr>
        <w:ind/>
        <w:jc w:val="both"/>
      </w:pPr>
      <w:r>
        <w:t>Отказ от дачи согласия на проведение мероприятия по увековечению памяти погибшего (умершего) участника специальной военной операции в указанной в ходатайстве форме должен быть мотивирован руководителем учреждения, организации или объединения.</w:t>
      </w:r>
    </w:p>
    <w:p w14:paraId="6E000000">
      <w:pPr>
        <w:ind/>
        <w:jc w:val="both"/>
        <w:rPr>
          <w:color w:themeColor="text1" w:val="000000"/>
        </w:rPr>
      </w:pPr>
      <w:r>
        <w:rPr>
          <w:color w:themeColor="text1" w:val="000000"/>
        </w:rPr>
        <w:t xml:space="preserve">22. Поступивший в Администрацию </w:t>
      </w:r>
      <w:r>
        <w:rPr>
          <w:color w:themeColor="text1" w:val="000000"/>
        </w:rPr>
        <w:t>Андреево-Мелентьевского</w:t>
      </w:r>
      <w:r>
        <w:rPr>
          <w:color w:themeColor="text1" w:val="000000"/>
        </w:rPr>
        <w:t xml:space="preserve"> сельского поселения ответ на запрос, указанный в абзаце первом пункта 21 настоящего Порядка, направляется в Комиссию в течение рабочего дня, в который он поступил.</w:t>
      </w:r>
    </w:p>
    <w:p w14:paraId="6F000000">
      <w:pPr>
        <w:ind/>
        <w:jc w:val="both"/>
      </w:pPr>
      <w:r>
        <w:t>23. Комиссия в течение 20 дней со дня поступления ей ходатайства рассматривает его и принимает одно из следующих решений:</w:t>
      </w:r>
    </w:p>
    <w:p w14:paraId="70000000">
      <w:pPr>
        <w:ind/>
        <w:jc w:val="both"/>
      </w:pPr>
      <w:r>
        <w:t>1) поддержать ходатайство;</w:t>
      </w:r>
    </w:p>
    <w:p w14:paraId="71000000">
      <w:pPr>
        <w:ind/>
        <w:jc w:val="both"/>
      </w:pPr>
      <w:r>
        <w:t>2) отклонить ходатайство.</w:t>
      </w:r>
    </w:p>
    <w:p w14:paraId="72000000">
      <w:pPr>
        <w:ind/>
        <w:jc w:val="both"/>
      </w:pPr>
      <w:r>
        <w:t xml:space="preserve">24. Решение Комиссии оформляется протоколом и направляется в Администрацию </w:t>
      </w:r>
      <w:r>
        <w:t>Андреево-Мелентьевского</w:t>
      </w:r>
      <w:r>
        <w:t xml:space="preserve"> сельского поселения в день проведения заседания по рассмотрению ходатайства. Протокол заседания Комиссии должен быть подписан председателем и секретарем Комиссии.</w:t>
      </w:r>
    </w:p>
    <w:p w14:paraId="73000000">
      <w:pPr>
        <w:ind/>
        <w:jc w:val="both"/>
      </w:pPr>
      <w:r>
        <w:t>К протоколу заседания Комиссии прилагаются все материалы, на основании которых Комиссией принималось решение.</w:t>
      </w:r>
    </w:p>
    <w:p w14:paraId="74000000">
      <w:pPr>
        <w:ind/>
        <w:jc w:val="both"/>
      </w:pPr>
      <w:r>
        <w:t>25. Решение, предусмотренное подпунктом 2 пункта 23 настоящего Порядка, принимается Комиссией в следующих случаях:</w:t>
      </w:r>
    </w:p>
    <w:p w14:paraId="75000000">
      <w:pPr>
        <w:ind/>
        <w:jc w:val="both"/>
      </w:pPr>
      <w:r>
        <w:t>1) недостаточность средств для финансирования указанного в ходатайстве мероприятия по увековечению памяти погибшего (умершего) участника специальной военной операции с учетом всех имеющихся источников финансирования, предусмотренных пунктом 6 настоящего Порядка;</w:t>
      </w:r>
    </w:p>
    <w:p w14:paraId="76000000">
      <w:pPr>
        <w:ind/>
        <w:jc w:val="both"/>
      </w:pPr>
      <w:r>
        <w:t xml:space="preserve">2) поступление в Администрацию </w:t>
      </w:r>
      <w:r>
        <w:t>Андреево-Мелентьевского</w:t>
      </w:r>
      <w:r>
        <w:t xml:space="preserve"> сельского поселения от руководителя учреждения, организации или объединения отказа от дачи согласия на проведение мероприятия по увековечению памяти погибшего (умершего) участника специальной военной операции в форме, предусмотренной подпунктом 1, 2 или 3 пункта 3 настоящего Порядка;</w:t>
      </w:r>
    </w:p>
    <w:p w14:paraId="77000000">
      <w:pPr>
        <w:ind/>
        <w:jc w:val="both"/>
      </w:pPr>
      <w:r>
        <w:t xml:space="preserve">3) улице, площади или другому элементу улично-дорожной сети, географическому объекту </w:t>
      </w:r>
      <w:r>
        <w:t>Андреево-Мелентьевского</w:t>
      </w:r>
      <w:r>
        <w:t xml:space="preserve"> сельского поселения, в </w:t>
      </w:r>
      <w:r>
        <w:t>отношении которых поступило ходатайство, ранее было присвоено имя погибшего (умершего) участника специальной военной операции (почетное наименование).</w:t>
      </w:r>
    </w:p>
    <w:p w14:paraId="78000000">
      <w:pPr>
        <w:ind/>
        <w:jc w:val="both"/>
      </w:pPr>
      <w:r>
        <w:t xml:space="preserve">26. В случае принятия Комиссией решения, предусмотренного подпунктом 2 пункта 23 настоящего Порядка, Комиссия вправе предложить инициатору увековечить на территории </w:t>
      </w:r>
      <w:r>
        <w:t>Андреево-Мелентьевского</w:t>
      </w:r>
      <w:r>
        <w:t xml:space="preserve"> сельского поселения память погибшего (умершего) участника специальной военной операции в другой форме.</w:t>
      </w:r>
    </w:p>
    <w:p w14:paraId="79000000">
      <w:pPr>
        <w:ind/>
        <w:jc w:val="both"/>
      </w:pPr>
      <w:r>
        <w:t xml:space="preserve">27. С учетом поступившего решения Комиссии Администрация </w:t>
      </w:r>
      <w:r>
        <w:t>Андреево-Мелентьевского</w:t>
      </w:r>
      <w:r>
        <w:t xml:space="preserve"> сельского поселения принимает решение о проведении на территории </w:t>
      </w:r>
      <w:r>
        <w:t>Андреево-Мелентьевского</w:t>
      </w:r>
      <w:r>
        <w:t xml:space="preserve"> сельского поселения мероприятия по увековечению памяти погибшего (умершего) участника специальной военной операции или решение об отказе в проведении такого мероприятия, которое направляет инициатору.</w:t>
      </w:r>
    </w:p>
    <w:p w14:paraId="7A000000">
      <w:pPr>
        <w:ind/>
        <w:jc w:val="both"/>
      </w:pPr>
      <w:r>
        <w:t xml:space="preserve">Решение об отказе в проведении на территории </w:t>
      </w:r>
      <w:r>
        <w:t>Андреево-Мелентьевского</w:t>
      </w:r>
      <w:r>
        <w:t xml:space="preserve"> сельского поселения мероприятия по увековечению памяти погибшего (умершего) участника специальной военной операции должно содержать мотивированное обоснование принятия такого решения.</w:t>
      </w:r>
    </w:p>
    <w:p w14:paraId="7B000000">
      <w:pPr>
        <w:ind/>
        <w:jc w:val="both"/>
      </w:pPr>
      <w:r>
        <w:t xml:space="preserve">28. Решение о проведении на территории </w:t>
      </w:r>
      <w:r>
        <w:t>Андреево-Мелентьевского</w:t>
      </w:r>
      <w:r>
        <w:t xml:space="preserve"> сельского поселения мероприятия по увековечению памяти погибшего (умершего) участника специальной военной операции подлежит официальному опубликованию и размещению на официальном сайте в порядке, предусмотренном муниципальными правовыми актами </w:t>
      </w:r>
      <w:r>
        <w:t>Андреево-Мелентьевского</w:t>
      </w:r>
      <w:r>
        <w:t xml:space="preserve"> сельского поселения.</w:t>
      </w:r>
    </w:p>
    <w:p w14:paraId="7C000000">
      <w:pPr>
        <w:ind/>
        <w:jc w:val="both"/>
      </w:pPr>
    </w:p>
    <w:p w14:paraId="7D000000">
      <w:pPr>
        <w:pageBreakBefore w:val="1"/>
        <w:ind w:firstLine="0" w:left="5670"/>
        <w:jc w:val="right"/>
        <w:rPr>
          <w:sz w:val="24"/>
        </w:rPr>
      </w:pPr>
      <w:r>
        <w:rPr>
          <w:sz w:val="24"/>
        </w:rPr>
        <w:t>Приложение 2</w:t>
      </w:r>
    </w:p>
    <w:p w14:paraId="7E000000">
      <w:pPr>
        <w:ind w:firstLine="0" w:left="5670"/>
        <w:jc w:val="right"/>
        <w:rPr>
          <w:sz w:val="24"/>
        </w:rPr>
      </w:pPr>
      <w:r>
        <w:rPr>
          <w:sz w:val="24"/>
        </w:rPr>
        <w:t xml:space="preserve">к решению Собрания депутатов </w:t>
      </w:r>
      <w:r>
        <w:rPr>
          <w:sz w:val="24"/>
        </w:rPr>
        <w:t>Андреево-Мелентьевского</w:t>
      </w:r>
      <w:r>
        <w:rPr>
          <w:sz w:val="24"/>
        </w:rPr>
        <w:t xml:space="preserve"> сельского поселения </w:t>
      </w:r>
      <w:r>
        <w:rPr>
          <w:color w:val="000000"/>
          <w:sz w:val="24"/>
        </w:rPr>
        <w:t xml:space="preserve">от </w:t>
      </w:r>
      <w:r>
        <w:rPr>
          <w:color w:val="000000"/>
          <w:sz w:val="24"/>
        </w:rPr>
        <w:t>05</w:t>
      </w:r>
      <w:r>
        <w:rPr>
          <w:color w:val="000000"/>
          <w:sz w:val="24"/>
        </w:rPr>
        <w:t>.</w:t>
      </w:r>
      <w:r>
        <w:rPr>
          <w:color w:val="000000"/>
          <w:sz w:val="24"/>
        </w:rPr>
        <w:t>09</w:t>
      </w:r>
      <w:r>
        <w:rPr>
          <w:color w:val="000000"/>
          <w:sz w:val="24"/>
        </w:rPr>
        <w:t xml:space="preserve">.2024 № </w:t>
      </w:r>
      <w:r>
        <w:rPr>
          <w:color w:val="000000"/>
          <w:sz w:val="24"/>
        </w:rPr>
        <w:t>105</w:t>
      </w:r>
    </w:p>
    <w:p w14:paraId="7F000000">
      <w:pPr>
        <w:ind w:firstLine="0" w:left="0"/>
        <w:jc w:val="both"/>
      </w:pPr>
    </w:p>
    <w:p w14:paraId="80000000">
      <w:pPr>
        <w:ind w:firstLine="0" w:left="0"/>
        <w:jc w:val="center"/>
        <w:rPr>
          <w:b w:val="1"/>
        </w:rPr>
      </w:pPr>
      <w:r>
        <w:rPr>
          <w:b w:val="1"/>
        </w:rPr>
        <w:t>ПОЛОЖЕНИЕ</w:t>
      </w:r>
    </w:p>
    <w:p w14:paraId="81000000">
      <w:pPr>
        <w:ind w:firstLine="0" w:left="0"/>
        <w:jc w:val="center"/>
        <w:rPr>
          <w:b w:val="1"/>
        </w:rPr>
      </w:pPr>
      <w:r>
        <w:rPr>
          <w:b w:val="1"/>
        </w:rPr>
        <w:t xml:space="preserve">о комиссии </w:t>
      </w:r>
      <w:r>
        <w:rPr>
          <w:b w:val="1"/>
        </w:rPr>
        <w:t>Андреево-Мелентьевского</w:t>
      </w:r>
      <w:r>
        <w:rPr>
          <w:b w:val="1"/>
        </w:rPr>
        <w:t xml:space="preserve"> сельского поселения по увековечению памяти погибших (умерших) участников специальной военной операции</w:t>
      </w:r>
    </w:p>
    <w:p w14:paraId="82000000">
      <w:pPr>
        <w:ind/>
        <w:jc w:val="both"/>
      </w:pPr>
    </w:p>
    <w:p w14:paraId="83000000">
      <w:pPr>
        <w:ind/>
        <w:jc w:val="both"/>
      </w:pPr>
      <w:r>
        <w:t xml:space="preserve">Глава 1. </w:t>
      </w:r>
      <w:r>
        <w:rPr>
          <w:b w:val="1"/>
        </w:rPr>
        <w:t>Общие положения</w:t>
      </w:r>
    </w:p>
    <w:p w14:paraId="84000000">
      <w:pPr>
        <w:ind/>
        <w:jc w:val="both"/>
      </w:pPr>
    </w:p>
    <w:p w14:paraId="85000000">
      <w:pPr>
        <w:ind/>
        <w:jc w:val="both"/>
        <w:rPr>
          <w:color w:val="000000"/>
        </w:rPr>
      </w:pPr>
      <w:r>
        <w:t xml:space="preserve">1. Комиссия </w:t>
      </w:r>
      <w:r>
        <w:t>Андреево-Мелентьевского</w:t>
      </w:r>
      <w:r>
        <w:t xml:space="preserve"> сельского поселения по увековечению памяти погибших (умерших) участников специальной военной операции (далее - Комиссия) является постоянно действующим коллегиальным органом при Администрации </w:t>
      </w:r>
      <w:r>
        <w:t>Андреево-Мелентьевского</w:t>
      </w:r>
      <w:r>
        <w:t xml:space="preserve"> сельского поселения, осуществляющим предварительное рассмотрение поступивших в Администрацию </w:t>
      </w:r>
      <w:r>
        <w:t>Андреево-Мелентьевского</w:t>
      </w:r>
      <w:r>
        <w:t xml:space="preserve"> сельского поселения ходатайств о проведении на территории </w:t>
      </w:r>
      <w:r>
        <w:t>Андреево-Мелентьевского</w:t>
      </w:r>
      <w:r>
        <w:t xml:space="preserve"> сельского поселения мероприятий по увековечению памяти погибших (умерших) участников специальной военной операции,</w:t>
      </w:r>
      <w:r>
        <w:rPr>
          <w:i w:val="1"/>
          <w:color w:val="FF0000"/>
        </w:rPr>
        <w:t xml:space="preserve"> </w:t>
      </w:r>
      <w:r>
        <w:rPr>
          <w:color w:val="000000"/>
        </w:rPr>
        <w:t xml:space="preserve">проживавших, обучавшихся или работавших на территории </w:t>
      </w:r>
      <w:r>
        <w:rPr>
          <w:color w:val="000000"/>
        </w:rPr>
        <w:t>Андреево-Мелентьевского</w:t>
      </w:r>
      <w:r>
        <w:rPr>
          <w:color w:val="000000"/>
        </w:rPr>
        <w:t xml:space="preserve"> сельского поселения.</w:t>
      </w:r>
    </w:p>
    <w:p w14:paraId="86000000">
      <w:pPr>
        <w:ind/>
        <w:jc w:val="both"/>
      </w:pPr>
      <w:r>
        <w:t xml:space="preserve">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Ростовской области, иными нормативными правовыми актами Ростовской области, муниципальными правовыми актами </w:t>
      </w:r>
      <w:r>
        <w:t>Андреево-Мелентьевского</w:t>
      </w:r>
      <w:r>
        <w:t xml:space="preserve"> сельского поселения, а также настоящим Положением.</w:t>
      </w:r>
    </w:p>
    <w:p w14:paraId="87000000">
      <w:pPr>
        <w:ind/>
        <w:jc w:val="both"/>
      </w:pPr>
      <w:r>
        <w:t xml:space="preserve">3. Организационное обеспечение работы Комиссии возлагается на Администрацию </w:t>
      </w:r>
      <w:r>
        <w:t>Андреево-Мелентьевского</w:t>
      </w:r>
      <w:r>
        <w:t xml:space="preserve"> сельского поселения.</w:t>
      </w:r>
    </w:p>
    <w:p w14:paraId="88000000">
      <w:pPr>
        <w:ind/>
        <w:jc w:val="both"/>
      </w:pPr>
    </w:p>
    <w:p w14:paraId="89000000">
      <w:pPr>
        <w:ind/>
        <w:jc w:val="both"/>
      </w:pPr>
      <w:r>
        <w:t xml:space="preserve">Глава 2. </w:t>
      </w:r>
      <w:r>
        <w:rPr>
          <w:b w:val="1"/>
        </w:rPr>
        <w:t>Полномочия Комиссии</w:t>
      </w:r>
    </w:p>
    <w:p w14:paraId="8A000000">
      <w:pPr>
        <w:ind/>
        <w:jc w:val="both"/>
      </w:pPr>
    </w:p>
    <w:p w14:paraId="8B000000">
      <w:pPr>
        <w:ind/>
        <w:jc w:val="both"/>
      </w:pPr>
      <w:r>
        <w:t>4. К полномочиям Комиссии относятся:</w:t>
      </w:r>
    </w:p>
    <w:p w14:paraId="8C000000">
      <w:pPr>
        <w:ind/>
        <w:jc w:val="both"/>
      </w:pPr>
      <w:r>
        <w:t xml:space="preserve">1) предварительное рассмотрение ходатайств о проведении на территории </w:t>
      </w:r>
      <w:r>
        <w:t>Андреево-Мелентьевского</w:t>
      </w:r>
      <w:r>
        <w:t xml:space="preserve"> сельского поселения мероприятий по увековечению памяти погибших (умерших) участников специальной военной операции,</w:t>
      </w:r>
      <w:r>
        <w:rPr>
          <w:i w:val="1"/>
          <w:color w:val="FF0000"/>
        </w:rPr>
        <w:t xml:space="preserve"> </w:t>
      </w:r>
      <w:r>
        <w:rPr>
          <w:color w:val="000000"/>
        </w:rPr>
        <w:t xml:space="preserve">проживавших, обучавшихся или работавших на территории </w:t>
      </w:r>
      <w:r>
        <w:rPr>
          <w:color w:val="000000"/>
        </w:rPr>
        <w:t>Андреево-Мелентьевского</w:t>
      </w:r>
      <w:r>
        <w:rPr>
          <w:color w:val="000000"/>
        </w:rPr>
        <w:t xml:space="preserve"> сельского поселения</w:t>
      </w:r>
      <w:r>
        <w:rPr>
          <w:i w:val="1"/>
          <w:color w:val="FF0000"/>
        </w:rPr>
        <w:t xml:space="preserve"> </w:t>
      </w:r>
      <w:r>
        <w:rPr>
          <w:color w:themeColor="text1" w:val="000000"/>
        </w:rPr>
        <w:t xml:space="preserve">(далее – ходатайства), поступивших в Администрацию </w:t>
      </w:r>
      <w:r>
        <w:rPr>
          <w:color w:themeColor="text1" w:val="000000"/>
        </w:rPr>
        <w:t>Андреево-Мелентьевского</w:t>
      </w:r>
      <w:r>
        <w:rPr>
          <w:color w:themeColor="text1" w:val="000000"/>
        </w:rPr>
        <w:t xml:space="preserve"> сельского поселения от </w:t>
      </w:r>
      <w:r>
        <w:t>органов государственной власти, органов местного самоуправления, учреждений культуры, образования, общественных, религиозных объединений, трудовых коллективов предприятий, учреждений, организаций различной формы собственности, физических лиц (далее - инициатор);</w:t>
      </w:r>
    </w:p>
    <w:p w14:paraId="8D000000">
      <w:pPr>
        <w:ind/>
        <w:jc w:val="both"/>
      </w:pPr>
      <w:r>
        <w:t xml:space="preserve">2) принятие и направление в Администрацию </w:t>
      </w:r>
      <w:r>
        <w:t>Андреево-Мелентьевского</w:t>
      </w:r>
      <w:r>
        <w:t xml:space="preserve"> сельского поселения решений о поддержке ходатайства или отклонении ходатайства.</w:t>
      </w:r>
    </w:p>
    <w:p w14:paraId="8E000000">
      <w:pPr>
        <w:ind/>
        <w:jc w:val="both"/>
      </w:pPr>
      <w:r>
        <w:t>5. В целях осуществления полномочий Комиссия имеет право:</w:t>
      </w:r>
    </w:p>
    <w:p w14:paraId="8F000000">
      <w:pPr>
        <w:ind/>
        <w:jc w:val="both"/>
      </w:pPr>
      <w:r>
        <w:t xml:space="preserve">1) запрашивать в Администрации </w:t>
      </w:r>
      <w:r>
        <w:t>Андреево-Мелентьевского</w:t>
      </w:r>
      <w:r>
        <w:t xml:space="preserve"> сельского поселения сведения и документы, необходимые для рассмотрения вопросов, входящих в компетенцию Комиссии;</w:t>
      </w:r>
    </w:p>
    <w:p w14:paraId="90000000">
      <w:pPr>
        <w:ind/>
        <w:jc w:val="both"/>
      </w:pPr>
      <w:r>
        <w:t>2) приглашать на заседание Комиссии руководителей учреждений, организаций или объединений и учредителей, осуществляющих полномочия собственника имущества учреждения, организации (при необходимости), в которых предлагается провести мероприятие по увековечению памяти погибшего (умершего) участника специальной военной операции в следующей форме:</w:t>
      </w:r>
    </w:p>
    <w:p w14:paraId="91000000">
      <w:pPr>
        <w:ind/>
        <w:jc w:val="both"/>
      </w:pPr>
      <w:r>
        <w:t xml:space="preserve">- создание музеев славы, мемориальных пространств (уголков воинской доблести, боевой славы, экспозиций, инсталляций, выставок, стен памяти, стендов), открытие парт Героев в библиотеках, музеях, образовательных организациях, учреждениях культуры, расположенных на территории </w:t>
      </w:r>
      <w:r>
        <w:t>Андреево-Мелентьевского</w:t>
      </w:r>
      <w:r>
        <w:t xml:space="preserve"> сельского поселения;</w:t>
      </w:r>
    </w:p>
    <w:p w14:paraId="92000000">
      <w:pPr>
        <w:ind/>
        <w:jc w:val="both"/>
      </w:pPr>
      <w:r>
        <w:t xml:space="preserve">- присвоение имен погибших (умерших) участников специальной военной операции (почетных наименований) организациям (в том числе образовательным организациям), подразделениям пожарной охраны, спортивным командам, добровольным народным дружинам, добровольным пожарным дружинам, расположенным на территории </w:t>
      </w:r>
      <w:r>
        <w:t>Андреево-Мелентьевского</w:t>
      </w:r>
      <w:r>
        <w:t xml:space="preserve"> сельского поселения;</w:t>
      </w:r>
    </w:p>
    <w:p w14:paraId="93000000">
      <w:pPr>
        <w:ind/>
        <w:jc w:val="both"/>
      </w:pPr>
      <w:r>
        <w:t>- проведение учебных занятий, посвященных памяти погибших (умерших) участников специальной военной операции;</w:t>
      </w:r>
    </w:p>
    <w:p w14:paraId="94000000">
      <w:pPr>
        <w:ind/>
        <w:jc w:val="both"/>
      </w:pPr>
      <w:r>
        <w:t xml:space="preserve">3) предложить инициатору увековечить на территории </w:t>
      </w:r>
      <w:r>
        <w:t>Андреево-Мелентьевского</w:t>
      </w:r>
      <w:r>
        <w:t xml:space="preserve"> сельского поселения память погибшего (умершего) участника специальной военной операции в другой форме в случае принятия Комиссией решения об отклонении ходатайства.</w:t>
      </w:r>
    </w:p>
    <w:p w14:paraId="95000000">
      <w:pPr>
        <w:ind/>
        <w:jc w:val="both"/>
      </w:pPr>
    </w:p>
    <w:p w14:paraId="96000000">
      <w:pPr>
        <w:ind/>
        <w:jc w:val="both"/>
      </w:pPr>
      <w:r>
        <w:t xml:space="preserve">Глава 3. </w:t>
      </w:r>
      <w:r>
        <w:rPr>
          <w:b w:val="1"/>
        </w:rPr>
        <w:t>Состав Комиссии</w:t>
      </w:r>
    </w:p>
    <w:p w14:paraId="97000000">
      <w:pPr>
        <w:ind/>
        <w:jc w:val="both"/>
      </w:pPr>
    </w:p>
    <w:p w14:paraId="98000000">
      <w:pPr>
        <w:ind/>
        <w:jc w:val="both"/>
      </w:pPr>
      <w:r>
        <w:t>6. Комиссия состоит из председателя, секретаря и членов Комиссии.</w:t>
      </w:r>
    </w:p>
    <w:p w14:paraId="99000000">
      <w:pPr>
        <w:ind/>
        <w:jc w:val="both"/>
      </w:pPr>
      <w:r>
        <w:t xml:space="preserve">7. Состав Комиссии утверждается постановлением Администрации </w:t>
      </w:r>
      <w:r>
        <w:t>Андреево-Мелентьевского</w:t>
      </w:r>
      <w:r>
        <w:t xml:space="preserve"> сельского поселения.</w:t>
      </w:r>
    </w:p>
    <w:p w14:paraId="9A000000">
      <w:pPr>
        <w:ind/>
        <w:jc w:val="both"/>
      </w:pPr>
      <w:r>
        <w:t xml:space="preserve">Численный состав Комиссии не может быть менее </w:t>
      </w:r>
      <w:r>
        <w:rPr>
          <w:color w:val="000000"/>
        </w:rPr>
        <w:t>пяти человек</w:t>
      </w:r>
      <w:r>
        <w:t xml:space="preserve">. </w:t>
      </w:r>
    </w:p>
    <w:p w14:paraId="9B000000">
      <w:pPr>
        <w:ind/>
        <w:jc w:val="both"/>
      </w:pPr>
      <w:r>
        <w:t xml:space="preserve">8. В состав Комиссии входят представители органов местного самоуправления </w:t>
      </w:r>
      <w:r>
        <w:t>Андреево-Мелентьевского</w:t>
      </w:r>
      <w:r>
        <w:t xml:space="preserve"> сельского поселения, общественных объединений и организаций, ведущих на территории </w:t>
      </w:r>
      <w:r>
        <w:t>Андреево-Мелентьевского</w:t>
      </w:r>
      <w:r>
        <w:t xml:space="preserve"> сельского поселения работу по военно-патриотическому и (или) духовно-нравственному воспитанию граждан, социально ориентированных некоммерческих организаций, осуществляющих на территории </w:t>
      </w:r>
      <w:r>
        <w:t>Андреево-Мелентьевского</w:t>
      </w:r>
      <w:r>
        <w:t xml:space="preserve"> сельского поселения деятельность в сфере патриотического, в том числе военно-патриотического </w:t>
      </w:r>
      <w:r>
        <w:t>воспитания, местных военно-патриотических клубов, учреждений образования и культуры.</w:t>
      </w:r>
    </w:p>
    <w:p w14:paraId="9C000000">
      <w:pPr>
        <w:ind/>
        <w:jc w:val="both"/>
      </w:pPr>
      <w:r>
        <w:t>9. Председатель Комиссии:</w:t>
      </w:r>
    </w:p>
    <w:p w14:paraId="9D000000">
      <w:pPr>
        <w:ind/>
        <w:jc w:val="both"/>
      </w:pPr>
      <w:r>
        <w:t>1) осуществляет общее руководство работой Комиссии;</w:t>
      </w:r>
    </w:p>
    <w:p w14:paraId="9E000000">
      <w:pPr>
        <w:ind/>
        <w:jc w:val="both"/>
      </w:pPr>
      <w:r>
        <w:t>2) председательствует на заседаниях Комиссии;</w:t>
      </w:r>
    </w:p>
    <w:p w14:paraId="9F000000">
      <w:pPr>
        <w:ind/>
        <w:jc w:val="both"/>
      </w:pPr>
      <w:r>
        <w:t>3) определяет по согласованию с другими членами Комиссии порядок рассмотрения вопросов, включенных в повестку заседания;</w:t>
      </w:r>
    </w:p>
    <w:p w14:paraId="A0000000">
      <w:pPr>
        <w:ind/>
        <w:jc w:val="both"/>
      </w:pPr>
      <w:r>
        <w:t>4) организует работу Комиссии;</w:t>
      </w:r>
    </w:p>
    <w:p w14:paraId="A1000000">
      <w:pPr>
        <w:ind/>
        <w:jc w:val="both"/>
      </w:pPr>
      <w:r>
        <w:t xml:space="preserve">5) обеспечивает взаимодействие Комиссии с Администрацией </w:t>
      </w:r>
      <w:r>
        <w:t>Андреево-Мелентьевского</w:t>
      </w:r>
      <w:r>
        <w:t xml:space="preserve"> сельского поселения и ее должностными лицами;</w:t>
      </w:r>
    </w:p>
    <w:p w14:paraId="A2000000">
      <w:pPr>
        <w:ind/>
        <w:jc w:val="both"/>
      </w:pPr>
      <w:r>
        <w:t>6) дает поручения секретарю Комиссии, членам Комиссии;</w:t>
      </w:r>
    </w:p>
    <w:p w14:paraId="A3000000">
      <w:pPr>
        <w:ind/>
        <w:jc w:val="both"/>
      </w:pPr>
      <w:r>
        <w:t>7) осуществляет иные полномочия в соответствии с действующим законодательством и настоящим Положением.</w:t>
      </w:r>
    </w:p>
    <w:p w14:paraId="A4000000">
      <w:pPr>
        <w:ind/>
        <w:jc w:val="both"/>
      </w:pPr>
      <w:r>
        <w:t>10. Секретарь Комиссии:</w:t>
      </w:r>
    </w:p>
    <w:p w14:paraId="A5000000">
      <w:pPr>
        <w:ind/>
        <w:jc w:val="both"/>
      </w:pPr>
      <w:r>
        <w:t>1) осуществляет организационно-техническое обеспечение проведения заседания Комиссии;</w:t>
      </w:r>
    </w:p>
    <w:p w14:paraId="A6000000">
      <w:pPr>
        <w:ind/>
        <w:jc w:val="both"/>
      </w:pPr>
      <w:r>
        <w:t>2) оформляет протоколы заседания Комиссии;</w:t>
      </w:r>
    </w:p>
    <w:p w14:paraId="A7000000">
      <w:pPr>
        <w:ind/>
        <w:jc w:val="both"/>
      </w:pPr>
      <w:r>
        <w:t>3) информирует членов Комиссии о дате, времени и месте проведения заседания Комиссии;</w:t>
      </w:r>
    </w:p>
    <w:p w14:paraId="A8000000">
      <w:pPr>
        <w:ind/>
        <w:jc w:val="both"/>
      </w:pPr>
      <w:r>
        <w:t>4) по поручению председателя Комиссии в случаях, предусмотренных подпунктом 2 пункта 5 настоящего Положения, направляет приглашение руководителям учреждений, организаций или объединений и учредителям, осуществляющим полномочия собственника имущества учреждений, организаций (при необходимости) принять участие в заседании Комиссии;</w:t>
      </w:r>
    </w:p>
    <w:p w14:paraId="A9000000">
      <w:pPr>
        <w:ind/>
        <w:jc w:val="both"/>
      </w:pPr>
      <w:r>
        <w:t xml:space="preserve">5) направляет подписанный протокол заседания Комиссии и </w:t>
      </w:r>
      <w:r>
        <w:t>и</w:t>
      </w:r>
      <w:r>
        <w:t xml:space="preserve"> материалы к нему в Администрацию </w:t>
      </w:r>
      <w:r>
        <w:t>Андреево-Мелентьевского</w:t>
      </w:r>
      <w:r>
        <w:t xml:space="preserve"> сельского поселения.</w:t>
      </w:r>
    </w:p>
    <w:p w14:paraId="AA000000">
      <w:pPr>
        <w:ind/>
        <w:jc w:val="both"/>
      </w:pPr>
    </w:p>
    <w:p w14:paraId="AB000000">
      <w:pPr>
        <w:ind/>
        <w:jc w:val="both"/>
      </w:pPr>
      <w:r>
        <w:t xml:space="preserve">Глава 4. </w:t>
      </w:r>
      <w:r>
        <w:rPr>
          <w:b w:val="1"/>
        </w:rPr>
        <w:t>Организация деятельности Комиссии</w:t>
      </w:r>
    </w:p>
    <w:p w14:paraId="AC000000">
      <w:pPr>
        <w:ind/>
        <w:jc w:val="both"/>
      </w:pPr>
    </w:p>
    <w:p w14:paraId="AD000000">
      <w:pPr>
        <w:ind/>
        <w:jc w:val="both"/>
      </w:pPr>
      <w:r>
        <w:t>11. Основной формой работы Комиссии является заседание Комиссии.</w:t>
      </w:r>
    </w:p>
    <w:p w14:paraId="AE000000">
      <w:pPr>
        <w:ind/>
        <w:jc w:val="both"/>
      </w:pPr>
      <w:r>
        <w:t>12. Заседания Комиссии проводятся по мере поступления ходатайств для предварительного рассмотрения.</w:t>
      </w:r>
    </w:p>
    <w:p w14:paraId="AF000000">
      <w:pPr>
        <w:ind/>
        <w:jc w:val="both"/>
      </w:pPr>
      <w:r>
        <w:t>Дату, время, место проведения заседания Комиссии определяет председатель Комиссии. Члены Комиссии оповещаются о дате, времени, месте проведения заседания Комиссии секретарем Комиссии не позднее чем за три дня до заседания Комиссии.</w:t>
      </w:r>
    </w:p>
    <w:p w14:paraId="B0000000">
      <w:pPr>
        <w:ind/>
        <w:jc w:val="both"/>
      </w:pPr>
      <w:r>
        <w:t>Ходатайство рассматривается в срок, не превышающий 20 дней со дня его поступления.</w:t>
      </w:r>
    </w:p>
    <w:p w14:paraId="B1000000">
      <w:pPr>
        <w:ind/>
        <w:jc w:val="both"/>
      </w:pPr>
      <w:r>
        <w:t>13. Заседание Комиссии считается правомочным, если на нем присутствует не менее половины от установленного числа членов Комиссии.</w:t>
      </w:r>
    </w:p>
    <w:p w14:paraId="B2000000">
      <w:pPr>
        <w:ind/>
        <w:jc w:val="both"/>
      </w:pPr>
      <w:r>
        <w:t>14. Решения Комиссии принимаются путем открытого голосования простым большинством голосов присутствующих на заседании членов Комиссии. При равенстве голосов голос председателя Комиссии является решающим.</w:t>
      </w:r>
    </w:p>
    <w:p w14:paraId="B3000000">
      <w:pPr>
        <w:ind/>
        <w:jc w:val="both"/>
      </w:pPr>
      <w:r>
        <w:t xml:space="preserve">15. Решения, принимаемые Комиссией, оформляются протоколами, которые в день заседания Комиссии подписываются председателем Комиссии и секретарем Комиссии и направляются вместе с прилагаемыми к ним материалами в Администрацию </w:t>
      </w:r>
      <w:r>
        <w:t>Андреево-Мелентьевского</w:t>
      </w:r>
      <w:r>
        <w:t xml:space="preserve"> сельского поселения.</w:t>
      </w:r>
    </w:p>
    <w:p w14:paraId="B4000000">
      <w:pPr>
        <w:ind/>
        <w:jc w:val="both"/>
      </w:pPr>
      <w:r>
        <w:t>16. Решения Комиссии носят рекомендательный характер.</w:t>
      </w:r>
    </w:p>
    <w:p w14:paraId="B5000000">
      <w:pPr>
        <w:ind/>
        <w:jc w:val="both"/>
      </w:pPr>
      <w:r>
        <w:t xml:space="preserve">17. Протоколы заседаний Комиссии и материалы к ним хранятся в Администрации </w:t>
      </w:r>
      <w:r>
        <w:t>Андреево-Мелентьевского</w:t>
      </w:r>
      <w:r>
        <w:t xml:space="preserve"> сельского поселения в течение 3 лет со дня проведения заседания Комиссии.</w:t>
      </w:r>
    </w:p>
    <w:p w14:paraId="B6000000">
      <w:pPr>
        <w:pageBreakBefore w:val="1"/>
        <w:ind w:firstLine="0" w:left="5670"/>
        <w:jc w:val="right"/>
        <w:rPr>
          <w:sz w:val="24"/>
        </w:rPr>
      </w:pPr>
      <w:r>
        <w:rPr>
          <w:sz w:val="24"/>
        </w:rPr>
        <w:t>Приложение 3</w:t>
      </w:r>
    </w:p>
    <w:p w14:paraId="B7000000">
      <w:pPr>
        <w:ind w:firstLine="0" w:left="5670"/>
        <w:jc w:val="right"/>
        <w:rPr>
          <w:color w:val="000000"/>
          <w:sz w:val="24"/>
        </w:rPr>
      </w:pPr>
      <w:r>
        <w:rPr>
          <w:sz w:val="24"/>
        </w:rPr>
        <w:t xml:space="preserve">к решению Собрания депутатов </w:t>
      </w:r>
      <w:r>
        <w:rPr>
          <w:sz w:val="24"/>
        </w:rPr>
        <w:t>Андреево-Мелентьевского</w:t>
      </w:r>
      <w:r>
        <w:rPr>
          <w:sz w:val="24"/>
        </w:rPr>
        <w:t xml:space="preserve"> сельского поселения </w:t>
      </w:r>
      <w:r>
        <w:rPr>
          <w:color w:val="000000"/>
          <w:sz w:val="24"/>
        </w:rPr>
        <w:t xml:space="preserve">от </w:t>
      </w:r>
      <w:r>
        <w:rPr>
          <w:color w:val="000000"/>
          <w:sz w:val="24"/>
        </w:rPr>
        <w:t>05</w:t>
      </w:r>
      <w:r>
        <w:rPr>
          <w:color w:val="000000"/>
          <w:sz w:val="24"/>
        </w:rPr>
        <w:t>.</w:t>
      </w:r>
      <w:r>
        <w:rPr>
          <w:color w:val="000000"/>
          <w:sz w:val="24"/>
        </w:rPr>
        <w:t>09</w:t>
      </w:r>
      <w:r>
        <w:rPr>
          <w:color w:val="000000"/>
          <w:sz w:val="24"/>
        </w:rPr>
        <w:t xml:space="preserve">.2024 № </w:t>
      </w:r>
      <w:r>
        <w:rPr>
          <w:color w:val="000000"/>
          <w:sz w:val="24"/>
        </w:rPr>
        <w:t>105</w:t>
      </w:r>
    </w:p>
    <w:p w14:paraId="B8000000">
      <w:pPr>
        <w:ind/>
        <w:jc w:val="both"/>
      </w:pPr>
    </w:p>
    <w:p w14:paraId="B9000000">
      <w:pPr>
        <w:ind/>
        <w:jc w:val="center"/>
        <w:rPr>
          <w:b w:val="1"/>
        </w:rPr>
      </w:pPr>
      <w:r>
        <w:rPr>
          <w:b w:val="1"/>
        </w:rPr>
        <w:t>Состав</w:t>
      </w:r>
    </w:p>
    <w:p w14:paraId="BA000000">
      <w:pPr>
        <w:ind/>
        <w:jc w:val="center"/>
        <w:rPr>
          <w:b w:val="1"/>
        </w:rPr>
      </w:pPr>
      <w:r>
        <w:rPr>
          <w:b w:val="1"/>
        </w:rPr>
        <w:t xml:space="preserve">комиссии </w:t>
      </w:r>
      <w:r>
        <w:rPr>
          <w:b w:val="1"/>
        </w:rPr>
        <w:t>Андреево-Мелентьевского</w:t>
      </w:r>
      <w:r>
        <w:rPr>
          <w:b w:val="1"/>
        </w:rPr>
        <w:t xml:space="preserve"> сельского поселения</w:t>
      </w:r>
    </w:p>
    <w:p w14:paraId="BB000000">
      <w:pPr>
        <w:ind/>
        <w:jc w:val="center"/>
        <w:rPr>
          <w:b w:val="1"/>
        </w:rPr>
      </w:pPr>
      <w:r>
        <w:rPr>
          <w:b w:val="1"/>
        </w:rPr>
        <w:t xml:space="preserve"> по увековечению</w:t>
      </w:r>
    </w:p>
    <w:p w14:paraId="BC000000">
      <w:pPr>
        <w:ind/>
        <w:jc w:val="center"/>
        <w:rPr>
          <w:b w:val="1"/>
        </w:rPr>
      </w:pPr>
      <w:r>
        <w:rPr>
          <w:b w:val="1"/>
        </w:rPr>
        <w:t>памяти погибших (умерших)</w:t>
      </w:r>
    </w:p>
    <w:p w14:paraId="BD000000">
      <w:pPr>
        <w:ind/>
        <w:jc w:val="center"/>
        <w:rPr>
          <w:b w:val="1"/>
        </w:rPr>
      </w:pPr>
      <w:r>
        <w:rPr>
          <w:b w:val="1"/>
        </w:rPr>
        <w:t xml:space="preserve"> участников специальной военной операции</w:t>
      </w:r>
    </w:p>
    <w:p w14:paraId="BE000000">
      <w:pPr>
        <w:ind/>
        <w:jc w:val="both"/>
      </w:pPr>
    </w:p>
    <w:p w14:paraId="BF000000">
      <w:pPr>
        <w:ind/>
        <w:jc w:val="both"/>
      </w:pPr>
      <w:r>
        <w:t>Председатель: ____________________________________</w:t>
      </w:r>
    </w:p>
    <w:p w14:paraId="C0000000">
      <w:pPr>
        <w:ind/>
        <w:jc w:val="both"/>
      </w:pPr>
      <w:r>
        <w:t>Секретарь: ________________________________________</w:t>
      </w:r>
    </w:p>
    <w:p w14:paraId="C1000000">
      <w:pPr>
        <w:ind w:hanging="851" w:left="1560"/>
        <w:jc w:val="both"/>
      </w:pPr>
      <w:r>
        <w:t>Члены: ____________________________________________</w:t>
      </w:r>
    </w:p>
    <w:p w14:paraId="C2000000">
      <w:pPr>
        <w:ind w:firstLine="1560" w:left="0"/>
        <w:jc w:val="both"/>
      </w:pPr>
      <w:r>
        <w:t>_____________________________________________</w:t>
      </w:r>
    </w:p>
    <w:p w14:paraId="C3000000">
      <w:pPr>
        <w:ind w:firstLine="1560" w:left="0"/>
        <w:jc w:val="both"/>
      </w:pPr>
      <w:r>
        <w:t>_____________________________________________</w:t>
      </w:r>
    </w:p>
    <w:p w14:paraId="C4000000">
      <w:pPr>
        <w:ind w:firstLine="1560" w:left="0"/>
        <w:jc w:val="both"/>
      </w:pPr>
      <w:r>
        <w:t>_____________________________________________</w:t>
      </w:r>
    </w:p>
    <w:p w14:paraId="C5000000">
      <w:pPr>
        <w:ind w:firstLine="1560" w:left="0"/>
        <w:jc w:val="both"/>
      </w:pPr>
      <w:r>
        <w:t>_____________________________________________</w:t>
      </w:r>
    </w:p>
    <w:p w14:paraId="C6000000">
      <w:pPr>
        <w:ind w:firstLine="1560" w:left="0"/>
        <w:jc w:val="both"/>
      </w:pPr>
    </w:p>
    <w:sectPr>
      <w:headerReference r:id="rId1" w:type="default"/>
      <w:pgSz w:h="16838" w:orient="portrait" w:w="11906"/>
      <w:pgMar w:bottom="1106" w:footer="0" w:gutter="0" w:header="0" w:left="1701" w:right="566" w:top="425"/>
      <w:titlePg/>
    </w:sectPr>
  </w:body>
</w:document>
</file>

<file path=word/fontTable.xml><?xml version="1.0" encoding="utf-8"?>
<w:fonts xmlns:w="http://schemas.openxmlformats.org/wordprocessingml/2006/main">
  <w:font w:name="Cambria">
    <w:panose1 w:val="02040503050406030204"/>
    <w:charset w:val="00"/>
    <w:family w:val="auto"/>
    <w:pitch w:val="variable"/>
    <w:sig w:csb0="0000019F" w:csb1="00000000" w:usb0="E00002FF" w:usb1="400004FF" w:usb2="00000000" w:usb3="00000000"/>
  </w:font>
  <w:font w:name="ＭＳ 明朝">
    <w:panose1 w:val="00000000000000000000"/>
    <w:charset w:val="80"/>
    <w:family w:val="roman"/>
    <w:notTrueType/>
    <w:pitch w:val="fixed"/>
    <w:sig w:csb0="00020000" w:csb1="00000000" w:usb0="00000001" w:usb1="08070000" w:usb2="00000010" w:usb3="00000000"/>
  </w:font>
  <w:font w:name="Times New Roman">
    <w:panose1 w:val="02020603050405020304"/>
    <w:charset w:val="00"/>
    <w:family w:val="auto"/>
    <w:pitch w:val="variable"/>
    <w:sig w:csb0="00000001" w:csb1="00000000" w:usb0="00000003" w:usb1="00000000" w:usb2="00000000" w:usb3="00000000"/>
  </w:font>
  <w:font w:name="Calibri">
    <w:panose1 w:val="020F0502020204030204"/>
    <w:charset w:val="00"/>
    <w:family w:val="auto"/>
    <w:pitch w:val="variable"/>
    <w:sig w:csb0="0000019F" w:csb1="00000000" w:usb0="E10002FF" w:usb1="4000ACFF" w:usb2="00000009" w:usb3="00000000"/>
  </w:font>
  <w:font w:name="ＭＳ ゴシック">
    <w:panose1 w:val="00000000000000000000"/>
    <w:charset w:val="80"/>
    <w:family w:val="modern"/>
    <w:notTrueType/>
    <w:pitch w:val="fixed"/>
    <w:sig w:csb0="00020000" w:csb1="00000000" w:usb0="00000001" w:usb1="08070000" w:usb2="00000010" w:usb3="00000000"/>
  </w:font>
  <w:font w:name="Consolas">
    <w:panose1 w:val="020B0609020204030204"/>
    <w:charset w:val="00"/>
    <w:family w:val="auto"/>
    <w:pitch w:val="variable"/>
    <w:sig w:csb0="0000019F" w:csb1="00000000" w:usb0="E10002FF" w:usb1="4000FCFF" w:usb2="00000009" w:usb3="00000000"/>
  </w:font>
  <w:font w:name="Arial">
    <w:panose1 w:val="020B0604020202020204"/>
    <w:charset w:val="00"/>
    <w:family w:val="auto"/>
    <w:pitch w:val="variable"/>
    <w:sig w:csb0="00000001" w:csb1="00000000" w:usb0="00000003" w:usb1="00000000" w:usb2="00000000" w:usb3="00000000"/>
  </w:font>
</w:fonts>
</file>

<file path=word/header1.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p>
    <w:pPr>
      <w:framePr w:hAnchor="margin" w:vAnchor="text" w:wrap="around" w:xAlign="center" w:y="1"/>
    </w:pPr>
    <w:r>
      <w:rPr>
        <w:rStyle w:val="Style_1_ch"/>
      </w:rPr>
      <w:fldChar w:fldCharType="begin"/>
    </w:r>
    <w:r>
      <w:rPr>
        <w:rStyle w:val="Style_1_ch"/>
      </w:rPr>
      <w:instrText xml:space="preserve">PAGE </w:instrText>
    </w:r>
    <w:r>
      <w:rPr>
        <w:rStyle w:val="Style_1_ch"/>
      </w:rPr>
      <w:fldChar w:fldCharType="separate"/>
    </w:r>
    <w:r>
      <w:rPr>
        <w:rStyle w:val="Style_1_ch"/>
      </w:rPr>
      <w:fldChar w:fldCharType="end"/>
    </w:r>
  </w:p>
  <w:p w14:paraId="01000000"/>
  <w:p w14:paraId="02000000">
    <w:pPr>
      <w:pStyle w:val="Style_2"/>
    </w:pPr>
  </w:p>
</w:hdr>
</file>

<file path=word/settings.xml><?xml version="1.0" encoding="utf-8"?>
<w:setting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efaultTabStop w:val="708"/>
  <w:clrSchemeMapping w:accent1="accent1" w:accent2="accent2" w:accent3="accent3" w:accent4="accent4" w:accent5="accent5" w:accent6="accent6" w:bg1="light1" w:bg2="light2" w:followedHyperlink="followedHyperlink" w:hyperlink="hyperlink" w:t1="dark1" w:t2="dark2"/>
</w:settings>
</file>

<file path=word/styles.xml><?xml version="1.0" encoding="utf-8"?>
<w:style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mc:Ignorable="co co-ooxml w14 x14 w15">
  <w:docDefaults>
    <w:rPrDefault>
      <w:rPr>
        <w:rFonts w:ascii="Times New Roman" w:hAnsi="Times New Roman"/>
        <w:color w:val="000000"/>
        <w:spacing w:val="0"/>
        <w:sz w:val="26"/>
      </w:rPr>
    </w:rPrDefault>
    <w:pPrDefault>
      <w:pPr>
        <w:spacing w:after="0" w:before="0" w:line="276" w:lineRule="auto"/>
        <w:ind w:firstLine="709" w:left="0" w:right="0"/>
        <w:jc w:val="both"/>
      </w:pPr>
    </w:pPrDefault>
  </w:docDefaults>
  <w:latentStyles w:count="24"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semiHidden="0" w:uiPriority="9" w:unhideWhenUsed="0"/>
    <w:lsdException w:name="heading 3" w:qFormat="1" w:semiHidden="0" w:uiPriority="9" w:unhideWhenUsed="0"/>
    <w:lsdException w:name="heading 4" w:qFormat="1" w:semiHidden="0" w:uiPriority="9" w:unhideWhenUsed="0"/>
    <w:lsdException w:name="heading 5" w:qFormat="1" w:semiHidden="0" w:uiPriority="9" w:unhideWhenUsed="0"/>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Title" w:qFormat="1" w:semiHidden="0" w:uiPriority="10" w:unhideWhenUsed="0"/>
    <w:lsdException w:name="Subtitle" w:qFormat="1" w:semiHidden="0" w:uiPriority="11" w:unhideWhenUsed="0"/>
    <w:lsdException w:name="Header and Footer" w:qFormat="0" w:semiHidden="0" w:unhideWhenUsed="0"/>
    <w:lsdException w:name="Footnote" w:qFormat="0" w:semiHidden="0" w:unhideWhenUsed="0"/>
    <w:lsdException w:name="toc 1" w:qFormat="0" w:semiHidden="0" w:uiPriority="39" w:unhideWhenUsed="0"/>
    <w:lsdException w:name="toc 2" w:qFormat="0" w:semiHidden="0" w:uiPriority="39" w:unhideWhenUsed="0"/>
    <w:lsdException w:name="toc 3" w:qFormat="0" w:semiHidden="0" w:uiPriority="39" w:unhideWhenUsed="0"/>
    <w:lsdException w:name="toc 4" w:qFormat="0" w:semiHidden="0" w:uiPriority="39" w:unhideWhenUsed="0"/>
    <w:lsdException w:name="toc 5" w:qFormat="0" w:semiHidden="0" w:uiPriority="39" w:unhideWhenUsed="0"/>
    <w:lsdException w:name="toc 6" w:qFormat="0" w:semiHidden="0" w:uiPriority="39" w:unhideWhenUsed="0"/>
    <w:lsdException w:name="toc 7" w:qFormat="0" w:semiHidden="0" w:uiPriority="39" w:unhideWhenUsed="0"/>
    <w:lsdException w:name="toc 8" w:qFormat="0" w:semiHidden="0" w:uiPriority="39" w:unhideWhenUsed="0"/>
    <w:lsdException w:name="toc 9" w:qFormat="0" w:semiHidden="0" w:uiPriority="39" w:unhideWhenUsed="0"/>
    <w:lsdException w:name="Hyperlink" w:qFormat="0" w:semiHidden="0" w:unhideWhenUsed="0"/>
  </w:latentStyles>
  <w:style w:default="1" w:styleId="Style_4" w:type="paragraph">
    <w:name w:val="Normal"/>
    <w:link w:val="Style_4_ch"/>
    <w:uiPriority w:val="0"/>
    <w:qFormat/>
    <w:pPr>
      <w:ind/>
      <w:jc w:val="left"/>
    </w:pPr>
  </w:style>
  <w:style w:default="1" w:styleId="Style_4_ch" w:type="character">
    <w:name w:val="Normal"/>
    <w:link w:val="Style_4"/>
  </w:style>
  <w:style w:styleId="Style_5" w:type="paragraph">
    <w:name w:val="toc 2"/>
    <w:next w:val="Style_4"/>
    <w:link w:val="Style_5_ch"/>
    <w:uiPriority w:val="39"/>
    <w:pPr>
      <w:ind w:firstLine="0" w:left="200"/>
      <w:jc w:val="left"/>
    </w:pPr>
    <w:rPr>
      <w:rFonts w:ascii="XO Thames" w:hAnsi="XO Thames"/>
      <w:sz w:val="28"/>
    </w:rPr>
  </w:style>
  <w:style w:styleId="Style_5_ch" w:type="character">
    <w:name w:val="toc 2"/>
    <w:link w:val="Style_5"/>
    <w:rPr>
      <w:rFonts w:ascii="XO Thames" w:hAnsi="XO Thames"/>
      <w:sz w:val="28"/>
    </w:rPr>
  </w:style>
  <w:style w:styleId="Style_6" w:type="paragraph">
    <w:name w:val="toc 4"/>
    <w:next w:val="Style_4"/>
    <w:link w:val="Style_6_ch"/>
    <w:uiPriority w:val="39"/>
    <w:pPr>
      <w:ind w:firstLine="0" w:left="600"/>
      <w:jc w:val="left"/>
    </w:pPr>
    <w:rPr>
      <w:rFonts w:ascii="XO Thames" w:hAnsi="XO Thames"/>
      <w:sz w:val="28"/>
    </w:rPr>
  </w:style>
  <w:style w:styleId="Style_6_ch" w:type="character">
    <w:name w:val="toc 4"/>
    <w:link w:val="Style_6"/>
    <w:rPr>
      <w:rFonts w:ascii="XO Thames" w:hAnsi="XO Thames"/>
      <w:sz w:val="28"/>
    </w:rPr>
  </w:style>
  <w:style w:styleId="Style_7" w:type="paragraph">
    <w:name w:val="toc 6"/>
    <w:next w:val="Style_4"/>
    <w:link w:val="Style_7_ch"/>
    <w:uiPriority w:val="39"/>
    <w:pPr>
      <w:ind w:firstLine="0" w:left="1000"/>
      <w:jc w:val="left"/>
    </w:pPr>
    <w:rPr>
      <w:rFonts w:ascii="XO Thames" w:hAnsi="XO Thames"/>
      <w:sz w:val="28"/>
    </w:rPr>
  </w:style>
  <w:style w:styleId="Style_7_ch" w:type="character">
    <w:name w:val="toc 6"/>
    <w:link w:val="Style_7"/>
    <w:rPr>
      <w:rFonts w:ascii="XO Thames" w:hAnsi="XO Thames"/>
      <w:sz w:val="28"/>
    </w:rPr>
  </w:style>
  <w:style w:styleId="Style_2" w:type="paragraph">
    <w:name w:val="header"/>
    <w:basedOn w:val="Style_4"/>
    <w:link w:val="Style_2_ch"/>
    <w:pPr>
      <w:tabs>
        <w:tab w:leader="none" w:pos="4677" w:val="center"/>
        <w:tab w:leader="none" w:pos="9355" w:val="right"/>
      </w:tabs>
      <w:spacing w:line="240" w:lineRule="auto"/>
      <w:ind/>
    </w:pPr>
  </w:style>
  <w:style w:styleId="Style_2_ch" w:type="character">
    <w:name w:val="header"/>
    <w:basedOn w:val="Style_4_ch"/>
    <w:link w:val="Style_2"/>
  </w:style>
  <w:style w:styleId="Style_8" w:type="paragraph">
    <w:name w:val="toc 7"/>
    <w:next w:val="Style_4"/>
    <w:link w:val="Style_8_ch"/>
    <w:uiPriority w:val="39"/>
    <w:pPr>
      <w:ind w:firstLine="0" w:left="1200"/>
      <w:jc w:val="left"/>
    </w:pPr>
    <w:rPr>
      <w:rFonts w:ascii="XO Thames" w:hAnsi="XO Thames"/>
      <w:sz w:val="28"/>
    </w:rPr>
  </w:style>
  <w:style w:styleId="Style_8_ch" w:type="character">
    <w:name w:val="toc 7"/>
    <w:link w:val="Style_8"/>
    <w:rPr>
      <w:rFonts w:ascii="XO Thames" w:hAnsi="XO Thames"/>
      <w:sz w:val="28"/>
    </w:rPr>
  </w:style>
  <w:style w:styleId="Style_9" w:type="paragraph">
    <w:name w:val="Default Paragraph Font"/>
    <w:link w:val="Style_9_ch"/>
  </w:style>
  <w:style w:styleId="Style_9_ch" w:type="character">
    <w:name w:val="Default Paragraph Font"/>
    <w:link w:val="Style_9"/>
  </w:style>
  <w:style w:styleId="Style_10" w:type="paragraph">
    <w:name w:val="heading 3"/>
    <w:next w:val="Style_4"/>
    <w:link w:val="Style_10_ch"/>
    <w:uiPriority w:val="9"/>
    <w:qFormat/>
    <w:pPr>
      <w:spacing w:after="120" w:before="120"/>
      <w:ind/>
      <w:outlineLvl w:val="2"/>
    </w:pPr>
    <w:rPr>
      <w:rFonts w:ascii="XO Thames" w:hAnsi="XO Thames"/>
      <w:b w:val="1"/>
    </w:rPr>
  </w:style>
  <w:style w:styleId="Style_10_ch" w:type="character">
    <w:name w:val="heading 3"/>
    <w:link w:val="Style_10"/>
    <w:rPr>
      <w:rFonts w:ascii="XO Thames" w:hAnsi="XO Thames"/>
      <w:b w:val="1"/>
    </w:rPr>
  </w:style>
  <w:style w:styleId="Style_11" w:type="paragraph">
    <w:name w:val="Основной шрифт абзаца1"/>
    <w:link w:val="Style_11_ch"/>
  </w:style>
  <w:style w:styleId="Style_11_ch" w:type="character">
    <w:name w:val="Основной шрифт абзаца1"/>
    <w:link w:val="Style_11"/>
  </w:style>
  <w:style w:styleId="Style_12" w:type="paragraph">
    <w:name w:val="Обычный1"/>
    <w:link w:val="Style_12_ch"/>
  </w:style>
  <w:style w:styleId="Style_12_ch" w:type="character">
    <w:name w:val="Обычный1"/>
    <w:link w:val="Style_12"/>
  </w:style>
  <w:style w:styleId="Style_13" w:type="paragraph">
    <w:name w:val="toc 3"/>
    <w:next w:val="Style_4"/>
    <w:link w:val="Style_13_ch"/>
    <w:uiPriority w:val="39"/>
    <w:pPr>
      <w:ind w:firstLine="0" w:left="400"/>
      <w:jc w:val="left"/>
    </w:pPr>
    <w:rPr>
      <w:rFonts w:ascii="XO Thames" w:hAnsi="XO Thames"/>
      <w:sz w:val="28"/>
    </w:rPr>
  </w:style>
  <w:style w:styleId="Style_13_ch" w:type="character">
    <w:name w:val="toc 3"/>
    <w:link w:val="Style_13"/>
    <w:rPr>
      <w:rFonts w:ascii="XO Thames" w:hAnsi="XO Thames"/>
      <w:sz w:val="28"/>
    </w:rPr>
  </w:style>
  <w:style w:styleId="Style_14" w:type="paragraph">
    <w:name w:val="heading 5"/>
    <w:next w:val="Style_4"/>
    <w:link w:val="Style_14_ch"/>
    <w:uiPriority w:val="9"/>
    <w:qFormat/>
    <w:pPr>
      <w:spacing w:after="120" w:before="120"/>
      <w:ind/>
      <w:outlineLvl w:val="4"/>
    </w:pPr>
    <w:rPr>
      <w:rFonts w:ascii="XO Thames" w:hAnsi="XO Thames"/>
      <w:b w:val="1"/>
      <w:sz w:val="22"/>
    </w:rPr>
  </w:style>
  <w:style w:styleId="Style_14_ch" w:type="character">
    <w:name w:val="heading 5"/>
    <w:link w:val="Style_14"/>
    <w:rPr>
      <w:rFonts w:ascii="XO Thames" w:hAnsi="XO Thames"/>
      <w:b w:val="1"/>
      <w:sz w:val="22"/>
    </w:rPr>
  </w:style>
  <w:style w:styleId="Style_15" w:type="paragraph">
    <w:name w:val="heading 1"/>
    <w:next w:val="Style_4"/>
    <w:link w:val="Style_15_ch"/>
    <w:uiPriority w:val="9"/>
    <w:qFormat/>
    <w:pPr>
      <w:spacing w:after="120" w:before="120"/>
      <w:ind/>
      <w:outlineLvl w:val="0"/>
    </w:pPr>
    <w:rPr>
      <w:rFonts w:ascii="XO Thames" w:hAnsi="XO Thames"/>
      <w:b w:val="1"/>
      <w:sz w:val="32"/>
    </w:rPr>
  </w:style>
  <w:style w:styleId="Style_15_ch" w:type="character">
    <w:name w:val="heading 1"/>
    <w:link w:val="Style_15"/>
    <w:rPr>
      <w:rFonts w:ascii="XO Thames" w:hAnsi="XO Thames"/>
      <w:b w:val="1"/>
      <w:sz w:val="32"/>
    </w:rPr>
  </w:style>
  <w:style w:styleId="Style_16" w:type="paragraph">
    <w:name w:val="Гиперссылка1"/>
    <w:link w:val="Style_16_ch"/>
    <w:rPr>
      <w:color w:val="0000FF"/>
      <w:u w:val="single"/>
    </w:rPr>
  </w:style>
  <w:style w:styleId="Style_16_ch" w:type="character">
    <w:name w:val="Гиперссылка1"/>
    <w:link w:val="Style_16"/>
    <w:rPr>
      <w:color w:val="0000FF"/>
      <w:u w:val="single"/>
    </w:rPr>
  </w:style>
  <w:style w:styleId="Style_17" w:type="paragraph">
    <w:name w:val="Hyperlink"/>
    <w:link w:val="Style_17_ch"/>
    <w:rPr>
      <w:color w:val="0000FF"/>
      <w:u w:val="single"/>
    </w:rPr>
  </w:style>
  <w:style w:styleId="Style_17_ch" w:type="character">
    <w:name w:val="Hyperlink"/>
    <w:link w:val="Style_17"/>
    <w:rPr>
      <w:color w:val="0000FF"/>
      <w:u w:val="single"/>
    </w:rPr>
  </w:style>
  <w:style w:styleId="Style_18" w:type="paragraph">
    <w:name w:val="Footnote"/>
    <w:link w:val="Style_18_ch"/>
    <w:pPr>
      <w:ind w:firstLine="851" w:left="0"/>
    </w:pPr>
    <w:rPr>
      <w:rFonts w:ascii="XO Thames" w:hAnsi="XO Thames"/>
      <w:sz w:val="22"/>
    </w:rPr>
  </w:style>
  <w:style w:styleId="Style_18_ch" w:type="character">
    <w:name w:val="Footnote"/>
    <w:link w:val="Style_18"/>
    <w:rPr>
      <w:rFonts w:ascii="XO Thames" w:hAnsi="XO Thames"/>
      <w:sz w:val="22"/>
    </w:rPr>
  </w:style>
  <w:style w:styleId="Style_19" w:type="paragraph">
    <w:name w:val="toc 1"/>
    <w:next w:val="Style_4"/>
    <w:link w:val="Style_19_ch"/>
    <w:uiPriority w:val="39"/>
    <w:pPr>
      <w:ind w:firstLine="0" w:left="0"/>
      <w:jc w:val="left"/>
    </w:pPr>
    <w:rPr>
      <w:rFonts w:ascii="XO Thames" w:hAnsi="XO Thames"/>
      <w:b w:val="1"/>
      <w:sz w:val="28"/>
    </w:rPr>
  </w:style>
  <w:style w:styleId="Style_19_ch" w:type="character">
    <w:name w:val="toc 1"/>
    <w:link w:val="Style_19"/>
    <w:rPr>
      <w:rFonts w:ascii="XO Thames" w:hAnsi="XO Thames"/>
      <w:b w:val="1"/>
      <w:sz w:val="28"/>
    </w:rPr>
  </w:style>
  <w:style w:styleId="Style_20" w:type="paragraph">
    <w:name w:val="Header and Footer"/>
    <w:link w:val="Style_20_ch"/>
    <w:pPr>
      <w:spacing w:line="240" w:lineRule="auto"/>
      <w:ind/>
    </w:pPr>
    <w:rPr>
      <w:rFonts w:ascii="XO Thames" w:hAnsi="XO Thames"/>
      <w:sz w:val="20"/>
    </w:rPr>
  </w:style>
  <w:style w:styleId="Style_20_ch" w:type="character">
    <w:name w:val="Header and Footer"/>
    <w:link w:val="Style_20"/>
    <w:rPr>
      <w:rFonts w:ascii="XO Thames" w:hAnsi="XO Thames"/>
      <w:sz w:val="20"/>
    </w:rPr>
  </w:style>
  <w:style w:styleId="Style_21" w:type="paragraph">
    <w:name w:val="toc 9"/>
    <w:next w:val="Style_4"/>
    <w:link w:val="Style_21_ch"/>
    <w:uiPriority w:val="39"/>
    <w:pPr>
      <w:ind w:firstLine="0" w:left="1600"/>
      <w:jc w:val="left"/>
    </w:pPr>
    <w:rPr>
      <w:rFonts w:ascii="XO Thames" w:hAnsi="XO Thames"/>
      <w:sz w:val="28"/>
    </w:rPr>
  </w:style>
  <w:style w:styleId="Style_21_ch" w:type="character">
    <w:name w:val="toc 9"/>
    <w:link w:val="Style_21"/>
    <w:rPr>
      <w:rFonts w:ascii="XO Thames" w:hAnsi="XO Thames"/>
      <w:sz w:val="28"/>
    </w:rPr>
  </w:style>
  <w:style w:styleId="Style_22" w:type="paragraph">
    <w:name w:val="toc 8"/>
    <w:next w:val="Style_4"/>
    <w:link w:val="Style_22_ch"/>
    <w:uiPriority w:val="39"/>
    <w:pPr>
      <w:ind w:firstLine="0" w:left="1400"/>
      <w:jc w:val="left"/>
    </w:pPr>
    <w:rPr>
      <w:rFonts w:ascii="XO Thames" w:hAnsi="XO Thames"/>
      <w:sz w:val="28"/>
    </w:rPr>
  </w:style>
  <w:style w:styleId="Style_22_ch" w:type="character">
    <w:name w:val="toc 8"/>
    <w:link w:val="Style_22"/>
    <w:rPr>
      <w:rFonts w:ascii="XO Thames" w:hAnsi="XO Thames"/>
      <w:sz w:val="28"/>
    </w:rPr>
  </w:style>
  <w:style w:styleId="Style_23" w:type="paragraph">
    <w:name w:val="toc 5"/>
    <w:next w:val="Style_4"/>
    <w:link w:val="Style_23_ch"/>
    <w:uiPriority w:val="39"/>
    <w:pPr>
      <w:ind w:firstLine="0" w:left="800"/>
      <w:jc w:val="left"/>
    </w:pPr>
    <w:rPr>
      <w:rFonts w:ascii="XO Thames" w:hAnsi="XO Thames"/>
      <w:sz w:val="28"/>
    </w:rPr>
  </w:style>
  <w:style w:styleId="Style_23_ch" w:type="character">
    <w:name w:val="toc 5"/>
    <w:link w:val="Style_23"/>
    <w:rPr>
      <w:rFonts w:ascii="XO Thames" w:hAnsi="XO Thames"/>
      <w:sz w:val="28"/>
    </w:rPr>
  </w:style>
  <w:style w:styleId="Style_24" w:type="paragraph">
    <w:name w:val="Subtitle"/>
    <w:next w:val="Style_4"/>
    <w:link w:val="Style_24_ch"/>
    <w:uiPriority w:val="11"/>
    <w:qFormat/>
    <w:rPr>
      <w:rFonts w:ascii="XO Thames" w:hAnsi="XO Thames"/>
      <w:i w:val="1"/>
      <w:sz w:val="24"/>
    </w:rPr>
  </w:style>
  <w:style w:styleId="Style_24_ch" w:type="character">
    <w:name w:val="Subtitle"/>
    <w:link w:val="Style_24"/>
    <w:rPr>
      <w:rFonts w:ascii="XO Thames" w:hAnsi="XO Thames"/>
      <w:i w:val="1"/>
      <w:sz w:val="24"/>
    </w:rPr>
  </w:style>
  <w:style w:styleId="Style_1" w:type="paragraph">
    <w:name w:val="Номер страницы1"/>
    <w:basedOn w:val="Style_11"/>
    <w:link w:val="Style_1_ch"/>
  </w:style>
  <w:style w:styleId="Style_1_ch" w:type="character">
    <w:name w:val="Номер страницы1"/>
    <w:basedOn w:val="Style_11_ch"/>
    <w:link w:val="Style_1"/>
  </w:style>
  <w:style w:styleId="Style_25" w:type="paragraph">
    <w:name w:val="Title"/>
    <w:next w:val="Style_4"/>
    <w:link w:val="Style_25_ch"/>
    <w:uiPriority w:val="10"/>
    <w:qFormat/>
    <w:pPr>
      <w:spacing w:after="567" w:before="567"/>
      <w:ind/>
      <w:jc w:val="center"/>
    </w:pPr>
    <w:rPr>
      <w:rFonts w:ascii="XO Thames" w:hAnsi="XO Thames"/>
      <w:b w:val="1"/>
      <w:caps w:val="1"/>
      <w:sz w:val="40"/>
    </w:rPr>
  </w:style>
  <w:style w:styleId="Style_25_ch" w:type="character">
    <w:name w:val="Title"/>
    <w:link w:val="Style_25"/>
    <w:rPr>
      <w:rFonts w:ascii="XO Thames" w:hAnsi="XO Thames"/>
      <w:b w:val="1"/>
      <w:caps w:val="1"/>
      <w:sz w:val="40"/>
    </w:rPr>
  </w:style>
  <w:style w:styleId="Style_26" w:type="paragraph">
    <w:name w:val="heading 4"/>
    <w:next w:val="Style_4"/>
    <w:link w:val="Style_26_ch"/>
    <w:uiPriority w:val="9"/>
    <w:qFormat/>
    <w:pPr>
      <w:spacing w:after="120" w:before="120"/>
      <w:ind/>
      <w:outlineLvl w:val="3"/>
    </w:pPr>
    <w:rPr>
      <w:rFonts w:ascii="XO Thames" w:hAnsi="XO Thames"/>
      <w:b w:val="1"/>
      <w:sz w:val="24"/>
    </w:rPr>
  </w:style>
  <w:style w:styleId="Style_26_ch" w:type="character">
    <w:name w:val="heading 4"/>
    <w:link w:val="Style_26"/>
    <w:rPr>
      <w:rFonts w:ascii="XO Thames" w:hAnsi="XO Thames"/>
      <w:b w:val="1"/>
      <w:sz w:val="24"/>
    </w:rPr>
  </w:style>
  <w:style w:styleId="Style_27" w:type="paragraph">
    <w:name w:val="heading 2"/>
    <w:next w:val="Style_4"/>
    <w:link w:val="Style_27_ch"/>
    <w:uiPriority w:val="9"/>
    <w:qFormat/>
    <w:pPr>
      <w:spacing w:after="120" w:before="120"/>
      <w:ind/>
      <w:outlineLvl w:val="1"/>
    </w:pPr>
    <w:rPr>
      <w:rFonts w:ascii="XO Thames" w:hAnsi="XO Thames"/>
      <w:b w:val="1"/>
      <w:sz w:val="28"/>
    </w:rPr>
  </w:style>
  <w:style w:styleId="Style_27_ch" w:type="character">
    <w:name w:val="heading 2"/>
    <w:link w:val="Style_27"/>
    <w:rPr>
      <w:rFonts w:ascii="XO Thames" w:hAnsi="XO Thames"/>
      <w:b w:val="1"/>
      <w:sz w:val="28"/>
    </w:rPr>
  </w:style>
  <w:style w:default="1" w:styleId="Style_3" w:type="table">
    <w:name w:val="Normal Table"/>
    <w:tblPr>
      <w:tblInd w:type="dxa" w:w="0"/>
      <w:tblCellMar>
        <w:top w:type="dxa" w:w="0"/>
        <w:left w:type="dxa" w:w="108"/>
        <w:bottom w:type="dxa" w:w="0"/>
        <w:right w:type="dxa" w:w="108"/>
      </w:tblCellMar>
    </w:tblPr>
  </w:style>
</w:styles>
</file>

<file path=word/stylesWithEffects.xml><?xml version="1.0" encoding="utf-8"?>
<w:styles xmlns:w="http://schemas.openxmlformats.org/wordprocessingml/2006/main">
  <w:docDefaults>
    <w:rPrDefault>
      <w:rPr>
        <w:rFonts w:asciiTheme="minorHAnsi" w:cstheme="minorBidi" w:eastAsiaTheme="minorEastAsia" w:hAnsiTheme="minorHAnsi"/>
        <w:sz w:val="24"/>
        <w:szCs w:val="24"/>
        <w:lang w:bidi="ar-SA" w:eastAsia="en-US" w:val="en-US"/>
      </w:rPr>
    </w:rPrDefault>
    <w:pPrDefault/>
  </w:docDefaults>
  <w:latentStyles w:count="27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styleId="Heading1" w:type="paragraph">
    <w:name w:val="heading 1"/>
    <w:basedOn w:val="Normal"/>
    <w:next w:val="Normal"/>
    <w:link w:val="Heading1Char"/>
    <w:uiPriority w:val="9"/>
    <w:qFormat/>
    <w:rsid w:val="00111FAE"/>
    <w:pPr>
      <w:keepNext/>
      <w:keepLines/>
      <w:spacing w:before="480"/>
      <w:outlineLvl w:val="0"/>
    </w:pPr>
    <w:rPr>
      <w:rFonts w:asciiTheme="majorHAnsi" w:cstheme="majorBidi" w:eastAsiaTheme="majorEastAsia" w:hAnsiTheme="majorHAnsi"/>
      <w:b/>
      <w:bCs/>
      <w:color w:themeColor="accent1" w:themeShade="B5" w:val="345A8A"/>
      <w:sz w:val="32"/>
      <w:szCs w:val="32"/>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111FAE"/>
    <w:rPr>
      <w:rFonts w:asciiTheme="majorHAnsi" w:cstheme="majorBidi" w:eastAsiaTheme="majorEastAsia" w:hAnsiTheme="majorHAnsi"/>
      <w:b/>
      <w:bCs/>
      <w:color w:themeColor="accent1" w:themeShade="B5" w:val="345A8A"/>
      <w:sz w:val="32"/>
      <w:szCs w:val="3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no" ?>
<Relationships xmlns="http://schemas.openxmlformats.org/package/2006/relationships">
  <Relationship Id="rId7" Target="theme/theme1.xml" Type="http://schemas.openxmlformats.org/officeDocument/2006/relationships/theme"/>
  <Relationship Id="rId6" Target="webSettings.xml" Type="http://schemas.openxmlformats.org/officeDocument/2006/relationships/webSettings"/>
  <Relationship Id="rId5" Target="stylesWithEffects.xml" Type="http://schemas.microsoft.com/office/2007/relationships/stylesWithEffects"/>
  <Relationship Id="rId4" Target="styles.xml" Type="http://schemas.openxmlformats.org/officeDocument/2006/relationships/styles"/>
  <Relationship Id="rId3" Target="settings.xml" Type="http://schemas.openxmlformats.org/officeDocument/2006/relationships/settings"/>
  <Relationship Id="rId2" Target="fontTable.xml" Type="http://schemas.openxmlformats.org/officeDocument/2006/relationships/fontTable"/>
  <Relationship Id="rId1" Target="header1.xml" Type="http://schemas.openxmlformats.org/officeDocument/2006/relationships/header"/>
</Relationships>

</file>

<file path=word/theme/theme1.xml><?xml version="1.0" encoding="utf-8"?>
<a:theme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4="http://schemas.microsoft.com/office/spreadsheetml/2009/9/main" xmlns:xdr="http://schemas.openxmlformats.org/drawingml/2006/spreadsheetDrawing" xmlns:xm="http://schemas.microsoft.com/office/excel/2006/main" name="Тема Office">
  <a:themeElements>
    <a:clrScheme name="Стандартная">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theme>
</file>

<file path=docProps/app.xml><?xml version="1.0" encoding="utf-8"?>
<Properties xmlns="http://schemas.openxmlformats.org/officeDocument/2006/extended-properties">
  <Template>Normal.dotm</Template>
  <TotalTime>0</TotalTime>
  <DocSecurity>0</DocSecurity>
  <ScaleCrop>false</ScaleCrop>
  <Application>MyOffice-CoreFramework-Windows/25</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modified xsi:type="dcterms:W3CDTF">2025-02-12T06:59:25Z</dcterms:modified>
</cp:coreProperties>
</file>